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WaldInvV (Brandenburg) — Grundsätze und Regelungsbereich</w:t>
      </w:r>
    </w:p>
    <w:p>
      <w:r>
        <w:rPr>
          <w:color w:val="555555"/>
          <w:sz w:val="18"/>
        </w:rPr>
        <w:t xml:space="preserve">Waldinventurverordnung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Waldinventuren, die gemäß § 30 Abs. 1 des</w:t>
      </w:r>
    </w:p>
    <w:p>
      <w:r>
        <w:t xml:space="preserve">Waldgesetzes des Landes Brandenburg zur Erfassung und Beobachtung des Boden-</w:t>
      </w:r>
    </w:p>
    <w:p>
      <w:r>
        <w:t xml:space="preserve">und Waldzustandes erforderlich sind, gelten die nachfolgenden Regelungen. Die</w:t>
      </w:r>
    </w:p>
    <w:p>
      <w:r>
        <w:t xml:space="preserve">Waldinventurergebnisse dienen als Informationsgrundlage für periodische,</w:t>
      </w:r>
    </w:p>
    <w:p>
      <w:r>
        <w:t xml:space="preserve">landesweite Berichterstattungen zur Lage und Entwicklung der Forstwirtschaft</w:t>
      </w:r>
    </w:p>
    <w:p>
      <w:r>
        <w:t xml:space="preserve">gemäß § 30 Abs. 4 des Waldgesetzes des Landes Brandenburg und</w:t>
      </w:r>
    </w:p>
    <w:p>
      <w:r>
        <w:t xml:space="preserve">zur Beobachtung und Sicherung des nachhaltigen Waldzustandes.</w:t>
      </w:r>
    </w:p>
    <w:p>
      <w:r>
        <w:t xml:space="preserve">(2) Waldinventuren im Sinne dieser Verordnung sind alle</w:t>
      </w:r>
    </w:p>
    <w:p>
      <w:r>
        <w:t xml:space="preserve">flächenbezogenen beziehungsweise thematischen Erhebungen im Wald aller</w:t>
      </w:r>
    </w:p>
    <w:p>
      <w:r>
        <w:t xml:space="preserve">Eigentumsarten.</w:t>
      </w:r>
    </w:p>
    <w:p>
      <w:r>
        <w:t xml:space="preserve">(3) Die Verordnung regelt im Folgenden die Durchführung der</w:t>
      </w:r>
    </w:p>
    <w:p>
      <w:r>
        <w:t xml:space="preserve">Waldinventuren durch die Forstbehörden beziehungsweise deren Beauftragte</w:t>
      </w:r>
    </w:p>
    <w:p>
      <w:r>
        <w:t xml:space="preserve">gemäß § 30 Abs. 1 des Waldgesetzes des Landes Brandenburg.</w:t>
      </w:r>
    </w:p>
    <w:p>
      <w:r>
        <w:t xml:space="preserve">Für Waldinventuren anderer Behörden beziehungsweise deren Beauftragte</w:t>
      </w:r>
    </w:p>
    <w:p>
      <w:r>
        <w:t xml:space="preserve">gelten die nachfolgenden Regelungen unter Beachtung des § 6 dieser</w:t>
      </w:r>
    </w:p>
    <w:p>
      <w:r>
        <w:t xml:space="preserve">Verordnung sinngemäß.</w:t>
      </w:r>
    </w:p>
    <w:p>
      <w:r>
        <w:t xml:space="preserve">(4) Die Regelungen des § 41a des Bundeswaldgesetzes vom 2. Mai</w:t>
      </w:r>
    </w:p>
    <w:p>
      <w:r>
        <w:t xml:space="preserve">1975 (BGBl. I S. 1037), der zuletzt durch Artikel 204 des Gesetzes vom 29.</w:t>
      </w:r>
    </w:p>
    <w:p>
      <w:r>
        <w:t xml:space="preserve">Oktober 2001 (BGBl. I S. 2785, 2827) geändert worden ist, bleiben</w:t>
      </w:r>
    </w:p>
    <w:p>
      <w:r>
        <w:t xml:space="preserve">unberührt. Die gemäß § 41a Abs. 2 des</w:t>
      </w:r>
    </w:p>
    <w:p>
      <w:r>
        <w:t xml:space="preserve">Bundeswaldgesetzes vorgesehene Erhebung der Grunddaten durch das Land erfolgt</w:t>
      </w:r>
    </w:p>
    <w:p>
      <w:r>
        <w:t xml:space="preserve">im Sinne dieser Verordnung.</w:t>
      </w:r>
    </w:p>
    <w:p>
      <w:r>
        <w:rPr>
          <w:color w:val="555555"/>
          <w:sz w:val="17"/>
        </w:rPr>
        <w:t xml:space="preserve">Zitiervorschlag: § 1 WaldInvV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https://recht.nulegal.eu/gesetze/WaldInvV/1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