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WaldErhV (Brandenburg) — Inkrafttreten, Außerkrafttreten</w:t>
      </w:r>
    </w:p>
    <w:p>
      <w:r>
        <w:rPr>
          <w:color w:val="555555"/>
          <w:sz w:val="18"/>
        </w:rPr>
        <w:t xml:space="preserve">Walderhaltungsabgabeverordnung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</w:t>
      </w:r>
    </w:p>
    <w:p>
      <w:r>
        <w:t xml:space="preserve">Verordnung tritt am Tag nach der Verkündung in Kraft. Gleichzeitig tritt die</w:t>
      </w:r>
    </w:p>
    <w:p>
      <w:r>
        <w:t xml:space="preserve">Verordnung über die Walderhaltungsabgabe vom 21. September 1993 (GVBl. II S.</w:t>
      </w:r>
    </w:p>
    <w:p>
      <w:r>
        <w:t xml:space="preserve">649) außer Kraft.</w:t>
      </w:r>
    </w:p>
    <w:p>
      <w:r>
        <w:t xml:space="preserve">Potsdam, den</w:t>
      </w:r>
    </w:p>
    <w:p>
      <w:r>
        <w:t xml:space="preserve">25. Mai 2009</w:t>
      </w:r>
    </w:p>
    <w:p>
      <w:r>
        <w:t xml:space="preserve">Der Minister für</w:t>
      </w:r>
    </w:p>
    <w:p>
      <w:r>
        <w:t xml:space="preserve">Ländliche Entwicklung,</w:t>
      </w:r>
    </w:p>
    <w:p>
      <w:r>
        <w:t xml:space="preserve">Umwelt und</w:t>
      </w:r>
    </w:p>
    <w:p>
      <w:r>
        <w:t xml:space="preserve">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5 WaldErhV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https://recht.nulegal.eu/gesetze/WaldErhV/5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