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WaldErhV (Brandenburg) — Verfahren und Fälligkeit der Walderhaltungsabgabe</w:t>
      </w:r>
    </w:p>
    <w:p>
      <w:r>
        <w:rPr>
          <w:color w:val="555555"/>
          <w:sz w:val="18"/>
        </w:rPr>
        <w:t xml:space="preserve">Walderhaltungsabgabeverordnung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für</w:t>
      </w:r>
    </w:p>
    <w:p>
      <w:r>
        <w:t xml:space="preserve">die Waldumwandlungsgenehmigung zuständige Behörde setzt die durch die untere</w:t>
      </w:r>
    </w:p>
    <w:p>
      <w:r>
        <w:t xml:space="preserve">Forstbehörde ermittelte Walderhaltungsabgabe fest.</w:t>
      </w:r>
    </w:p>
    <w:p>
      <w:r>
        <w:t xml:space="preserve">(2) In die</w:t>
      </w:r>
    </w:p>
    <w:p>
      <w:r>
        <w:t xml:space="preserve">Waldumwandlungsgenehmigung ist die Zahlung der festgesetzten</w:t>
      </w:r>
    </w:p>
    <w:p>
      <w:r>
        <w:t xml:space="preserve">Walderhaltungsabgabe als Bedingung aufzunehmen.</w:t>
      </w:r>
    </w:p>
    <w:p>
      <w:r>
        <w:t xml:space="preserve">(3) Die</w:t>
      </w:r>
    </w:p>
    <w:p>
      <w:r>
        <w:t xml:space="preserve">Walderhaltungsabgabe ist in der Regel in einem Betrag und an die Behörde zu</w:t>
      </w:r>
    </w:p>
    <w:p>
      <w:r>
        <w:t xml:space="preserve">zahlen, die den Bescheid zur Waldumwandlung erlassen hat. Bei Vorhaben, deren</w:t>
      </w:r>
    </w:p>
    <w:p>
      <w:r>
        <w:t xml:space="preserve">abschnittsweise Waldinanspruchnahme sich über einen Zeitraum von mehr als drei</w:t>
      </w:r>
    </w:p>
    <w:p>
      <w:r>
        <w:t xml:space="preserve">Jahren erstreckt, kann die Zahlung in jährlichen Teilbeträgen entsprechend dem</w:t>
      </w:r>
    </w:p>
    <w:p>
      <w:r>
        <w:t xml:space="preserve">geplanten Fortgang des Vorhabens zugelassen werden.</w:t>
      </w:r>
    </w:p>
    <w:p>
      <w:r>
        <w:t xml:space="preserve">(4) Ist die</w:t>
      </w:r>
    </w:p>
    <w:p>
      <w:r>
        <w:t xml:space="preserve">den Bescheid zur Waldumwandlung erlassende Behörde nicht die Forstbehörde, führt</w:t>
      </w:r>
    </w:p>
    <w:p>
      <w:r>
        <w:t xml:space="preserve">diese die erhobene Walderhaltungsabgabe an die untere Forstbehörde zur weiteren</w:t>
      </w:r>
    </w:p>
    <w:p>
      <w:r>
        <w:t xml:space="preserve">Verwaltung und Verwendung spätestens zum Ende des laufenden Quartals, in dem der</w:t>
      </w:r>
    </w:p>
    <w:p>
      <w:r>
        <w:t xml:space="preserve">Bescheid Rechtskraft erlangte, ab.</w:t>
      </w:r>
    </w:p>
    <w:p>
      <w:r>
        <w:rPr>
          <w:color w:val="555555"/>
          <w:sz w:val="17"/>
        </w:rPr>
        <w:t xml:space="preserve">Zitiervorschlag: § 3 WaldErhV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https://recht.nulegal.eu/gesetze/WaldErhV/3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