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WaldErhV (Brandenburg) — Höhe der Walderhaltungsabgabe</w:t>
      </w:r>
    </w:p>
    <w:p>
      <w:r>
        <w:rPr>
          <w:color w:val="555555"/>
          <w:sz w:val="18"/>
        </w:rPr>
        <w:t xml:space="preserve">Walderhaltungsabgabeverordnung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</w:t>
      </w:r>
    </w:p>
    <w:p>
      <w:r>
        <w:t xml:space="preserve">Kompensationsumfang wird in der Genehmigung zur Umwandlung von Wald in eine</w:t>
      </w:r>
    </w:p>
    <w:p>
      <w:r>
        <w:t xml:space="preserve">andere Nutzungsart auf der Grundlage der Verwaltungsvorschrift zu § 8 des</w:t>
      </w:r>
    </w:p>
    <w:p>
      <w:r>
        <w:t xml:space="preserve">Waldgesetzes des Landes Brandenburg festgelegt. Die Höhe der</w:t>
      </w:r>
    </w:p>
    <w:p>
      <w:r>
        <w:t xml:space="preserve">Walderhaltungsabgabe ergibt sich aus:</w:t>
      </w:r>
    </w:p>
    <w:p>
      <w:r>
        <w:t xml:space="preserve">den</w:t>
      </w:r>
    </w:p>
    <w:p>
      <w:r>
        <w:t xml:space="preserve">Grunderwerbskosten für den Ankauf einer zur Aufforstung geeigneten Fläche</w:t>
      </w:r>
    </w:p>
    <w:p>
      <w:r>
        <w:t xml:space="preserve">und</w:t>
      </w:r>
    </w:p>
    <w:p>
      <w:r>
        <w:t xml:space="preserve">den Kosten für</w:t>
      </w:r>
    </w:p>
    <w:p>
      <w:r>
        <w:t xml:space="preserve">eine gesicherte Kultur. Eine Forstkultur im Sinne dieser Verordnung gilt als</w:t>
      </w:r>
    </w:p>
    <w:p>
      <w:r>
        <w:t xml:space="preserve">gesichert, wenn die Forstpflanzen mindestens zu 40 Prozent den Waldboden</w:t>
      </w:r>
    </w:p>
    <w:p>
      <w:r>
        <w:t xml:space="preserve">überschirmen und den biotischen und abiotischen Schäden gegenüber</w:t>
      </w:r>
    </w:p>
    <w:p>
      <w:r>
        <w:t xml:space="preserve">widerstandsfähig sind.</w:t>
      </w:r>
    </w:p>
    <w:p>
      <w:r>
        <w:t xml:space="preserve">(2) Als</w:t>
      </w:r>
    </w:p>
    <w:p>
      <w:r>
        <w:t xml:space="preserve">Grunderwerbskosten gelten die aktuellen Bodenpreise für landwirtschaftliche</w:t>
      </w:r>
    </w:p>
    <w:p>
      <w:r>
        <w:t xml:space="preserve">Nutzflächen im betroffenen Naturraum gemäß den Grundstücksmarktberichten der</w:t>
      </w:r>
    </w:p>
    <w:p>
      <w:r>
        <w:t xml:space="preserve">regionalen Gutachterausschüsse.</w:t>
      </w:r>
    </w:p>
    <w:p>
      <w:r>
        <w:t xml:space="preserve">(3) Bei der</w:t>
      </w:r>
    </w:p>
    <w:p>
      <w:r>
        <w:t xml:space="preserve">Herleitung der Kosten einer gesicherten Kultur werden einbezogen:</w:t>
      </w:r>
    </w:p>
    <w:p>
      <w:r>
        <w:t xml:space="preserve">die Kosten für</w:t>
      </w:r>
    </w:p>
    <w:p>
      <w:r>
        <w:t xml:space="preserve">eine Flächenvorbereitung,</w:t>
      </w:r>
    </w:p>
    <w:p>
      <w:r>
        <w:t xml:space="preserve">die Pflanzung</w:t>
      </w:r>
    </w:p>
    <w:p>
      <w:r>
        <w:t xml:space="preserve">mit zugelassenem forstlichen Vermehrungsgut,</w:t>
      </w:r>
    </w:p>
    <w:p>
      <w:r>
        <w:t xml:space="preserve">die Pflege der</w:t>
      </w:r>
    </w:p>
    <w:p>
      <w:r>
        <w:t xml:space="preserve">Kultur,</w:t>
      </w:r>
    </w:p>
    <w:p>
      <w:r>
        <w:t xml:space="preserve">die</w:t>
      </w:r>
    </w:p>
    <w:p>
      <w:r>
        <w:t xml:space="preserve">Kultursicherung gegen biotische und abiotische Schäden sowie</w:t>
      </w:r>
    </w:p>
    <w:p>
      <w:r>
        <w:t xml:space="preserve">gegebenenfalls</w:t>
      </w:r>
    </w:p>
    <w:p>
      <w:r>
        <w:t xml:space="preserve">die erforderliche Nachbesserung.</w:t>
      </w:r>
    </w:p>
    <w:p>
      <w:r>
        <w:rPr>
          <w:color w:val="555555"/>
          <w:sz w:val="17"/>
        </w:rPr>
        <w:t xml:space="preserve">Zitiervorschlag: § 2 WaldErhV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https://recht.nulegal.eu/gesetze/WaldErhV/2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