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WaldErhV (Brandenburg) — Grundsatz</w:t>
      </w:r>
    </w:p>
    <w:p>
      <w:r>
        <w:rPr>
          <w:color w:val="555555"/>
          <w:sz w:val="18"/>
        </w:rPr>
        <w:t xml:space="preserve">Walderhaltungsabgabeverordnung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</w:t>
      </w:r>
    </w:p>
    <w:p>
      <w:r>
        <w:t xml:space="preserve">Begünstigte der Waldumwandlung hat einen finanziellen Ausgleich in Form einer</w:t>
      </w:r>
    </w:p>
    <w:p>
      <w:r>
        <w:t xml:space="preserve">Walderhaltungsabgabe zu leisten, wenn eine Erstaufforstung geeigneter</w:t>
      </w:r>
    </w:p>
    <w:p>
      <w:r>
        <w:t xml:space="preserve">Grundstücke oder sonstige Schutz- und Gestaltungsmaßnahmen im Wald nach § 8</w:t>
      </w:r>
    </w:p>
    <w:p>
      <w:r>
        <w:t xml:space="preserve">Absatz 3 des Waldgesetzes des Landes Brandenburg nicht möglich oder die</w:t>
      </w:r>
    </w:p>
    <w:p>
      <w:r>
        <w:t xml:space="preserve">nachteiligen Auswirkungen der Umwandlung nicht ausgeglichen werden können.</w:t>
      </w:r>
    </w:p>
    <w:p>
      <w:r>
        <w:t xml:space="preserve">(2) Bei der</w:t>
      </w:r>
    </w:p>
    <w:p>
      <w:r>
        <w:t xml:space="preserve">befristeten Umwandlung einer Waldfläche entbindet die Entrichtung der</w:t>
      </w:r>
    </w:p>
    <w:p>
      <w:r>
        <w:t xml:space="preserve">Walderhaltungsabgabe den Begünstigten nicht davon, nach Abschluss der Nutzung</w:t>
      </w:r>
    </w:p>
    <w:p>
      <w:r>
        <w:t xml:space="preserve">die Flächen entsprechend der aufzustellenden Betriebspläne oder den Auflagen der</w:t>
      </w:r>
    </w:p>
    <w:p>
      <w:r>
        <w:t xml:space="preserve">Waldumwandlungsgenehmigung zu rekultivieren beziehungsweise zu renaturieren.</w:t>
      </w:r>
    </w:p>
    <w:p>
      <w:r>
        <w:rPr>
          <w:color w:val="555555"/>
          <w:sz w:val="17"/>
        </w:rPr>
        <w:t xml:space="preserve">Zitiervorschlag: § 1 WaldErhV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https://recht.nulegal.eu/gesetze/WaldErhV/1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