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WaldBefV (Brandenburg) — Verfahren</w:t>
      </w:r>
    </w:p>
    <w:p>
      <w:r>
        <w:rPr>
          <w:color w:val="555555"/>
          <w:sz w:val="18"/>
        </w:rPr>
        <w:t xml:space="preserve">Waldbefahrungsverordnung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Beabsichtigt die untere Forstbehörde die Gestattung nach § 16 Abs. 3 des Waldgesetzes des Landes Brandenburg zu untersagen oder einzuschränken, so teilt sie dies dem Gestattungsgeber und dem Gestattungsnehmer innerhalb von zwei Wochen nach Bekanntwerden der Gestattung mit.</w:t>
      </w:r>
    </w:p>
    <w:p>
      <w:r>
        <w:t xml:space="preserve">(2) Die Einschränkungs- oder Untersagungsverfügung ergeht unter Angabe von Gründen. Sie legt auch dar, inwieweit beziehungsweise ob von der erteilten Gestattung noch Gebrauch gemacht werden darf.</w:t>
      </w:r>
    </w:p>
    <w:p>
      <w:r>
        <w:rPr>
          <w:color w:val="555555"/>
          <w:sz w:val="17"/>
        </w:rPr>
        <w:t xml:space="preserve">Zitiervorschlag: § 3 WaldBefV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https://recht.nulegal.eu/gesetze/WaldBefV/3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