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WaldBefV (Brandenburg) — Form und Inhalt der Gestattung</w:t>
      </w:r>
    </w:p>
    <w:p>
      <w:r>
        <w:rPr>
          <w:color w:val="555555"/>
          <w:sz w:val="18"/>
        </w:rPr>
        <w:t xml:space="preserve">Waldbefahrungsverordnung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Gestattung ist schriftlich oder durch elektronischen Schriftformersatz zu erteilen, damit sie vom Gestattungsnehmer gemäß § 16 Abs. 2 Satz 2 des Waldgesetzes des Landes Brandenburg gegenüber der unteren Forstbehörde auf Verlangen vorgezeigt werden kann. Dabei kann das beigefügte Gestattungsmuster gemäß Anlage verwendet werden.</w:t>
      </w:r>
    </w:p>
    <w:p>
      <w:r>
        <w:t xml:space="preserve">(2) Die Gestattung hat mindestens zu enthalten:</w:t>
      </w:r>
    </w:p>
    <w:p>
      <w:r>
        <w:t xml:space="preserve">den Namen, die Anschrift und die Unterschrift des Gestattungsgebers sowie das Datum,</w:t>
      </w:r>
    </w:p>
    <w:p>
      <w:r>
        <w:t xml:space="preserve">den Gegenstand der Gestattung, beispielsweise den Wegverlauf oder die betroffenen Flurstücke,</w:t>
      </w:r>
    </w:p>
    <w:p>
      <w:r>
        <w:t xml:space="preserve">den Namen und die Anschrift des Gestattungsnehmers,</w:t>
      </w:r>
    </w:p>
    <w:p>
      <w:r>
        <w:t xml:space="preserve">die Kraftfahrzeugart, insbesondere die Angabe ob PKW oder LKW,</w:t>
      </w:r>
    </w:p>
    <w:p>
      <w:r>
        <w:t xml:space="preserve">den Zweck der Befahrung und</w:t>
      </w:r>
    </w:p>
    <w:p>
      <w:r>
        <w:t xml:space="preserve">die Angabe über die Frist.</w:t>
      </w:r>
    </w:p>
    <w:p>
      <w:r>
        <w:t xml:space="preserve">(3) Die Gestattung kann auch durch einen Vertreter, insbesondere durch einen forstwirtschaftlichen Zusammenschluss, für eine Gruppe von Waldbesitzern erteilt werden.</w:t>
      </w:r>
    </w:p>
    <w:p>
      <w:r>
        <w:t xml:space="preserve">(4) Die Gestattung kann sich auf eine bestimmbare Personengruppe erstrecken, indem Gestattungsnehmer, insbesondere Unternehmen und Vereine, stellvertretend für ihre Beauftragten oder Mitglieder Gestattungen erhalten.</w:t>
      </w:r>
    </w:p>
    <w:p>
      <w:r>
        <w:rPr>
          <w:color w:val="555555"/>
          <w:sz w:val="17"/>
        </w:rPr>
        <w:t xml:space="preserve">Zitiervorschlag: § 2 WaldBefV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https://recht.nulegal.eu/gesetze/WaldBefV/2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