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WahrnV 1994 — Markenstellen und Markenabteilungen</w:t>
      </w:r>
    </w:p>
    <w:p>
      <w:r>
        <w:rPr>
          <w:color w:val="555555"/>
          <w:sz w:val="18"/>
        </w:rPr>
        <w:t xml:space="preserve">Wahrnehmungsverordnung</w:t>
      </w:r>
    </w:p>
    <w:p>
      <w:r>
        <w:rPr>
          <w:color w:val="555555"/>
          <w:sz w:val="18"/>
        </w:rPr>
        <w:t xml:space="preserve">Stand: 28.06.2024 (konsolidierte Textfassung, kein amtliches Inkrafttretensdatum)</w:t>
      </w:r>
    </w:p>
    <w:p>
      <w:r>
        <w:t xml:space="preserve">(1) Mit der Wahrnehmung folgender Aufgaben der Markenstellen und der Markenabteilungen werden auch Beamte des gehobenen Dienstes und vergleichbare Tarifbeschäftigte betraut:</w:t>
      </w:r>
    </w:p>
    <w:p>
      <w:pPr>
        <w:ind w:left="420"/>
      </w:pPr>
      <w:r>
        <w:t xml:space="preserve">1. Bearbeitung von Anträgen auf Eintragung des Übergangs des durch die Eintragung der Marke begründeten Rechts in das Register;</w:t>
      </w:r>
    </w:p>
    <w:p>
      <w:pPr>
        <w:ind w:left="420"/>
      </w:pPr>
      <w:r>
        <w:t xml:space="preserve">2. Bearbeitung von Anträgen auf Eintragung einer Verpfändung, eines sonstigen dinglichen Rechts, von Maßnahmen der Zwangsvollstreckung oder eines Insolvenzverfahrens in das Register, soweit das durch die Eintragung begründete Recht betroffen ist;</w:t>
      </w:r>
    </w:p>
    <w:p>
      <w:pPr>
        <w:ind w:left="420"/>
      </w:pPr>
      <w:r>
        <w:t xml:space="preserve">3. Bearbeitung von Anträgen auf Berichtigung von Eintragungen im Register oder von Veröffentlichungen;</w:t>
      </w:r>
    </w:p>
    <w:p>
      <w:pPr>
        <w:ind w:left="420"/>
      </w:pPr>
      <w:r>
        <w:t xml:space="preserve">4. Bearbeitung von Anträgen auf Änderung einer Registereintragung, die den Namen oder den Sitz des Inhabers der Marke betrifft;</w:t>
      </w:r>
    </w:p>
    <w:p>
      <w:pPr>
        <w:ind w:left="420"/>
      </w:pPr>
      <w:r>
        <w:t xml:space="preserve">5. Bearbeitung von Erklärungen auf Teilung einer eingetragenen Marke;</w:t>
      </w:r>
    </w:p>
    <w:p>
      <w:pPr>
        <w:ind w:left="420"/>
      </w:pPr>
      <w:r>
        <w:t xml:space="preserve">6. Feststellung des Verzichts einschließlich des Teilverzichts auf eine eingetragene Marke;</w:t>
      </w:r>
    </w:p>
    <w:p>
      <w:pPr>
        <w:ind w:left="420"/>
      </w:pPr>
      <w:r>
        <w:t xml:space="preserve">7. Bearbeitung von Verfahren der teilweisen Verlängerung der Schutzdauer der eingetragenen Marke;</w:t>
      </w:r>
    </w:p>
    <w:p>
      <w:pPr>
        <w:ind w:left="420"/>
      </w:pPr>
      <w:r>
        <w:t xml:space="preserve">8. formelle Bearbeitung von Löschungsverfahren, einschließlich der Feststellung, daß der Löschungsantrag wegen fehlender Zahlung der Antragsgebühr als zurückgenommen gilt;</w:t>
      </w:r>
    </w:p>
    <w:p>
      <w:pPr>
        <w:ind w:left="420"/>
      </w:pPr>
      <w:r>
        <w:t xml:space="preserve">9. Bearbeitung von Anträgen auf internationale Registrierung von Marken;</w:t>
      </w:r>
    </w:p>
    <w:p>
      <w:pPr>
        <w:ind w:left="420"/>
      </w:pPr>
      <w:r>
        <w:t xml:space="preserve">10. Bearbeitung von Verfahren, die international registrierte Marken betreffen, insbesondere von</w:t>
      </w:r>
    </w:p>
    <w:p>
      <w:pPr>
        <w:ind w:left="780"/>
      </w:pPr>
      <w:r>
        <w:t xml:space="preserve">a) Anträgen auf nachträgliche Schutzerstreckung von international registrierten Marken inländischer Inhaber,</w:t>
      </w:r>
    </w:p>
    <w:p>
      <w:pPr>
        <w:ind w:left="780"/>
      </w:pPr>
      <w:r>
        <w:t xml:space="preserve">b) Anträgen auf Ersetzung der nationalen Eintragung durch die internationale Registrierung,</w:t>
      </w:r>
    </w:p>
    <w:p>
      <w:pPr>
        <w:ind w:left="780"/>
      </w:pPr>
      <w:r>
        <w:t xml:space="preserve">c) Anträgen auf Löschung von international registrierten Marken wegen Wegfalls des Schutzes der Basismarke,</w:t>
      </w:r>
    </w:p>
    <w:p>
      <w:pPr>
        <w:ind w:left="780"/>
      </w:pPr>
      <w:r>
        <w:t xml:space="preserve">d) Anträgen auf Eintragung von Änderungen bei international registrierten Marken inländischer Inhaber;</w:t>
      </w:r>
    </w:p>
    <w:p>
      <w:pPr>
        <w:ind w:left="420"/>
      </w:pPr>
      <w:r>
        <w:t xml:space="preserve">11. Bearbeitung von international registrierten Marken, deren Schutz auf das Gebiet der Bundesrepublik Deutschland erstreckt worden ist;</w:t>
      </w:r>
    </w:p>
    <w:p>
      <w:pPr>
        <w:ind w:left="420"/>
      </w:pPr>
      <w:r>
        <w:t xml:space="preserve">12. Bearbeitung von Anträgen auf Eintragung einer geographischen Angabe oder Ursprungsbezeichnung und von Einsprüchen nach der Verordnung (EU) 2024/1143 des Europäischen Parlaments und des Rates vom 11. April 2024 über geografische Angaben für Wein, Spirituosen und landwirtschaftliche Erzeugnisse und über garantiert traditionelle Spezialitäten und fakultative Qualitätsangaben für landwirtschaftliche Erzeugnisse sowie zur Änderung der Verordnungen (EU) Nr. 1308/2013, (EU) 2019/787 und (EU) 2019/1753 und zur Aufhebung der Verordnung (EU) Nr. 1151/2012 (ABl. L, 2024/1143, 23.4.2024) in der jeweils geltenden Fassung, mit Ausnahme der in diesen Verfahren zu treffenden Entscheidungen, jedoch einschließlich der Feststellung, daß der Einspruch wegen fehlender Zahlung der Einspruchsgebühr als nicht erhoben gilt, sowie der Weiterleitung von Anträgen und Einsprüchen an das Bundesministerium der Justiz und für Verbraucherschutz;</w:t>
      </w:r>
    </w:p>
    <w:p>
      <w:pPr>
        <w:ind w:left="420"/>
      </w:pPr>
      <w:r>
        <w:t xml:space="preserve">13. Bearbeitung von Verfahren der Akteneinsicht;</w:t>
      </w:r>
    </w:p>
    <w:p>
      <w:pPr>
        <w:ind w:left="420"/>
      </w:pPr>
      <w:r>
        <w:t xml:space="preserve">14. formelle Bearbeitung von Anträgen auf Wiedereinsetzung in den vorigen Stand und von Anträgen auf Weiterbehandlung und, sofern sie über die nachgeholte Handlung zu entscheiden haben, Prüfung der materiellen Antragsvoraussetzungen und Entscheidung über solche Anträge. Eingeschlossen ist die Bearbeitung solcher Anträge in Angelegenheiten nach § 5 Abs. 2 Nr. 5.</w:t>
      </w:r>
    </w:p>
    <w:p>
      <w:r>
        <w:t xml:space="preserve">(2) Mit der Wahrnehmung folgender Aufgaben der Markenstellen und Markenabteilungen werden auch Beamte des mittleren Dienstes und vergleichbare Tarifbeschäftigte betraut:</w:t>
      </w:r>
    </w:p>
    <w:p>
      <w:pPr>
        <w:ind w:left="420"/>
      </w:pPr>
      <w:r>
        <w:t xml:space="preserve">1. Aufforderung, formelle Mängel von Anmeldungen oder von Erklärungen auf Teilung einer angemeldeten oder einer eingetragenen Marke zu beseitigen;</w:t>
      </w:r>
    </w:p>
    <w:p>
      <w:pPr>
        <w:ind w:left="420"/>
      </w:pPr>
      <w:r>
        <w:t xml:space="preserve">2. formelle Bearbeitung der Akten in Löschungsverfahren einschließlich der Aufforderung, formelle Mängel bei der Einreichung von Schriftsätzen zu beseitigen;</w:t>
      </w:r>
    </w:p>
    <w:p>
      <w:pPr>
        <w:ind w:left="420"/>
      </w:pPr>
      <w:r>
        <w:t xml:space="preserve">3. Gewährung von Einsicht in die Akten von Anmeldungen von Marken und von eingetragenen Marken einschließlich der Erteilung von Auskünften über den Akteninhalt und von Abschriften und Auszügen aus den Akten; bei Akten von Anmeldungen von Marken, soweit der Anmelder dem Antrag zugestimmt hat;</w:t>
      </w:r>
    </w:p>
    <w:p>
      <w:pPr>
        <w:ind w:left="420"/>
      </w:pPr>
      <w:r>
        <w:t xml:space="preserve">4. Bearbeitung von Verfahren der Verlängerung der Schutzdauer mit Ausnahme der Verfahren nach Absatz 1 Nr. 6 einschließlich der vollständigen Löschung der Marke, wenn nach Ablauf der Schutzdauer die Verlängerung der Schutzdauer unterblieben ist;</w:t>
      </w:r>
    </w:p>
    <w:p>
      <w:pPr>
        <w:ind w:left="420"/>
      </w:pPr>
      <w:r>
        <w:t xml:space="preserve">5. Bearbeitung von Anträgen auf Änderung einer Registereintragung, die den Wohnort oder die Zustellanschrift des Inhabers der Marke oder die Änderung von Vertreterangaben betrifft;</w:t>
      </w:r>
    </w:p>
    <w:p>
      <w:pPr>
        <w:ind w:left="420"/>
      </w:pPr>
      <w:r>
        <w:t xml:space="preserve">6. Aufforderung, die für die Inanspruchnahme einer Priorität erforderlichen Angaben zu machen und entsprechende Unterlagen einzureichen;</w:t>
      </w:r>
    </w:p>
    <w:p>
      <w:pPr>
        <w:ind w:left="420"/>
      </w:pPr>
      <w:r>
        <w:t xml:space="preserve">7. Aufforderung, die für die Berufung auf eine im Ursprungsland eingetragene Marke erforderlichen Angaben zu machen und entsprechende Unterlagen einzureichen;</w:t>
      </w:r>
    </w:p>
    <w:p>
      <w:pPr>
        <w:ind w:left="420"/>
      </w:pPr>
      <w:r>
        <w:t xml:space="preserve">8. Sachbearbeitung bei Übertragungen von international registrierten Marken.</w:t>
      </w:r>
    </w:p>
    <w:p>
      <w:r>
        <w:rPr>
          <w:color w:val="555555"/>
          <w:sz w:val="17"/>
        </w:rPr>
        <w:t xml:space="preserve">Zitiervorschlag: § 5 WahrnV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https://recht.nulegal.eu/gesetze/WahrnV%201994/5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