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WahlPrG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mündliche Verhandlung findet öffentlich statt.</w:t>
      </w:r>
    </w:p>
    <w:p>
      <w:r>
        <w:t xml:space="preserve">(2) Für die mündliche Verhandlung gilt § 4, doch sollen an ihr alle Mitglieder oder ihre Stellvertreter teilnehmen.</w:t>
      </w:r>
    </w:p>
    <w:p>
      <w:r>
        <w:t xml:space="preserve">(3) Der Vorsitzende hat in der mündlichen Verhandlung die Befugnisse, die sich aus der sinngemäßen Anwendung der für den Zivilprozeß geltenden Bestimmungen ergeben.</w:t>
      </w:r>
    </w:p>
    <w:p>
      <w:r>
        <w:rPr>
          <w:color w:val="555555"/>
          <w:sz w:val="17"/>
        </w:rPr>
        <w:t xml:space="preserve">Zitiervorschlag: § 8 WahlPrG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https://recht.nulegal.eu/gesetze/WahlPrG/8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