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(1) Zu Beginn der mündlichen Verhandlung trägt der Berichterstatter die Sachlage vor und berichtet über das Ergebnis der Vorprüfung. Alsdann erhalten auf Verlangen der Einsprechende (bei mehreren der Bevollmächtigte gemäß § 2 Abs. 3), die sonstigen Beteiligten und der Abgeordnete, dessen Wahl angefochten ist, das Wort.</w:t>
      </w:r>
    </w:p>
    <w:p>
      <w:r>
        <w:t xml:space="preserve">(2) Etwa geladene Zeugen und Sachverständige sind zu hören und, falls der Ausschuß dies für geboten hält, zu beeidigen. Die Beteiligten haben das Recht, Zeugen und Sachverständigen Fragen vorlegen zu lassen. Nach Abschluß einer etwaigen Beweisaufnahme ist den Beteiligten Gelegenheit zu Ausführungen zu geben. Das Schlußwort gebührt dem Anfechtenden.</w:t>
      </w:r>
    </w:p>
    <w:p>
      <w:r>
        <w:t xml:space="preserve">(3) Über die Verhandlung ist eine Niederschrift aufzunehmen, in der die Aussagen der Zeugen und Sachverständigen wiederzugeben sind.</w:t>
      </w:r>
    </w:p>
    <w:p>
      <w:r>
        <w:rPr>
          <w:color w:val="555555"/>
          <w:sz w:val="17"/>
        </w:rPr>
        <w:t xml:space="preserve">Zitiervorschlag: § 7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