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WahlPrG</w:t>
      </w:r>
    </w:p>
    <w:p>
      <w:r>
        <w:rPr>
          <w:color w:val="555555"/>
          <w:sz w:val="18"/>
        </w:rPr>
        <w:t xml:space="preserve">Wahlprüfungsgesetz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Beschwerde an das Bundesverfassungsgericht gelten die Vorschriften des Gesetzes über das Bundesverfassungsgericht.</w:t>
      </w:r>
    </w:p>
    <w:p>
      <w:r>
        <w:rPr>
          <w:color w:val="555555"/>
          <w:sz w:val="17"/>
        </w:rPr>
        <w:t xml:space="preserve">Zitiervorschlag: § 18 WahlPrG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https://recht.nulegal.eu/gesetze/WahlPrG/18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