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WahlPrG</w:t>
      </w:r>
    </w:p>
    <w:p>
      <w:r>
        <w:rPr>
          <w:color w:val="555555"/>
          <w:sz w:val="18"/>
        </w:rPr>
        <w:t xml:space="preserve">Wahlprüfungsgesetz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Ergeben sich Zweifel, ob ein Abgeordneter im Zeitpunkt der Wahl wählbar war, so kann auch nach Ablauf der Einspruchsfrist (§ 2 Abs. 4) der Präsident des Bundestages Einspruch gegen die Gültigkeit der Wahl einlegen. Er muß dies tun, wenn eine Minderheit von einhundert Abgeordneten es verlangt.</w:t>
      </w:r>
    </w:p>
    <w:p>
      <w:r>
        <w:rPr>
          <w:color w:val="555555"/>
          <w:sz w:val="17"/>
        </w:rPr>
        <w:t xml:space="preserve">Zitiervorschlag: § 14 WahlPrG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https://recht.nulegal.eu/gesetze/WahlPrG/14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