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WahlO Post 2002</w:t>
      </w:r>
    </w:p>
    <w:p>
      <w:r>
        <w:rPr>
          <w:color w:val="555555"/>
          <w:sz w:val="18"/>
        </w:rPr>
        <w:t xml:space="preserve">Verordnung zur Durchführung der Betriebsratswahlen bei den Postunternehmen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bei den Aktiengesellschaften beschäftigten Beamtinnen und Beamten gelten für die Anwendung der Vorschriften der Wahlordnung als Arbeitnehmerinnen und Arbeitnehmer.</w:t>
      </w:r>
    </w:p>
    <w:p>
      <w:r>
        <w:rPr>
          <w:color w:val="555555"/>
          <w:sz w:val="17"/>
        </w:rPr>
        <w:t xml:space="preserve">Zitiervorschlag: § 2 WahlO Post 2002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https://recht.nulegal.eu/gesetze/WahlO%20Post%202002/2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