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WahlFrVO (Sachsen)</w:t>
      </w:r>
    </w:p>
    <w:p>
      <w:r>
        <w:rPr>
          <w:color w:val="555555"/>
          <w:sz w:val="18"/>
        </w:rPr>
        <w:t xml:space="preserve">Wahlfristverkürzungsverordnung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55 Absatz 2 des Sächsischen Wahlgesetzes vom 11. August 2023 (SächsGVBl. S. 598) verordnet das Staatsministerium des Innern:</w:t>
      </w:r>
    </w:p>
    <w:p>
      <w:r>
        <w:rPr>
          <w:color w:val="555555"/>
          <w:sz w:val="17"/>
        </w:rPr>
        <w:t xml:space="preserve">Zitiervorschlag: Eingangsformel WahlFrVO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https://recht.nulegal.eu/gesetze/WahlFrVO/eingangsformel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