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WahlFrVO (Sachsen) — Inkrafttreten</w:t>
      </w:r>
    </w:p>
    <w:p>
      <w:r>
        <w:rPr>
          <w:color w:val="555555"/>
          <w:sz w:val="18"/>
        </w:rPr>
        <w:t xml:space="preserve">Wahlfristverkürzungsverordnung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19. Dezember 2024</w:t>
      </w:r>
    </w:p>
    <w:p>
      <w:r>
        <w:t xml:space="preserve">Der Staatsminister des Innern</w:t>
      </w:r>
    </w:p>
    <w:p>
      <w:r>
        <w:t xml:space="preserve">Armin Schuster</w:t>
      </w:r>
    </w:p>
    <w:p>
      <w:r>
        <w:rPr>
          <w:color w:val="555555"/>
          <w:sz w:val="17"/>
        </w:rPr>
        <w:t xml:space="preserve">Zitiervorschlag: § 2 WahlFrVO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https://recht.nulegal.eu/gesetze/WahlFrVO/2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