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WahlDG (Brandenburg) — Wahlbehörden</w:t>
      </w:r>
    </w:p>
    <w:p>
      <w:r>
        <w:rPr>
          <w:color w:val="555555"/>
          <w:sz w:val="18"/>
        </w:rPr>
        <w:t xml:space="preserve">Wahldurchführungsgesetz 1993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In den Fällen der §§ 2 und 3 des Ersten</w:t>
      </w:r>
    </w:p>
    <w:p>
      <w:r>
        <w:t xml:space="preserve">Gemeindegliederungsgesetzes ist Wahlbehörde der Oberbürgermeister</w:t>
      </w:r>
    </w:p>
    <w:p>
      <w:r>
        <w:t xml:space="preserve">oder Bürgermeister der aufnehmenden Gemeinde.</w:t>
      </w:r>
    </w:p>
    <w:p>
      <w:r>
        <w:t xml:space="preserve">(2) In den Fällen des § 1 des Ersten Gemeindegliederungsgesetzes</w:t>
      </w:r>
    </w:p>
    <w:p>
      <w:r>
        <w:t xml:space="preserve">ist Wahlbehörde in dem durch</w:t>
      </w:r>
    </w:p>
    <w:p>
      <w:r>
        <w:t xml:space="preserve">Absatz 1 Nr. 1 bestimmten Gebiet der Bürgermeister der bis zum</w:t>
      </w:r>
    </w:p>
    <w:p>
      <w:r>
        <w:t xml:space="preserve">Wahltag bestehenden Gemeinde Kolkwitz,</w:t>
      </w:r>
    </w:p>
    <w:p>
      <w:r>
        <w:t xml:space="preserve">Absatz 1 Nr. 2 bestimmten Gebiet der Bürgermeister der bis zum</w:t>
      </w:r>
    </w:p>
    <w:p>
      <w:r>
        <w:t xml:space="preserve">Wahltag bestehenden Gemeinde Petershagen.</w:t>
      </w:r>
    </w:p>
    <w:p>
      <w:r>
        <w:t xml:space="preserve">(3) Für das in § 1 Abs. 3 des Ersten Gemeindegliederungsgesetzes</w:t>
      </w:r>
    </w:p>
    <w:p>
      <w:r>
        <w:t xml:space="preserve">bestimmte Gebiet ist Wahlbehörde der zuständige Amtsdirektor.</w:t>
      </w:r>
    </w:p>
    <w:p>
      <w:r>
        <w:rPr>
          <w:color w:val="555555"/>
          <w:sz w:val="17"/>
        </w:rPr>
        <w:t xml:space="preserve">Zitiervorschlag: § 8 WahlDG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https://recht.nulegal.eu/gesetze/WahlDG/8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