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WahlDG (Brandenburg) — Wahlgebiet der von der Neugliederung betroffenen Gemeinden</w:t>
      </w:r>
    </w:p>
    <w:p>
      <w:r>
        <w:rPr>
          <w:color w:val="555555"/>
          <w:sz w:val="18"/>
        </w:rPr>
        <w:t xml:space="preserve">Wahldurchführungsgesetz 1993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Wahlgebiet im Sinne dieses Gesetzes ist für die Gemeinden, die vom</w:t>
      </w:r>
    </w:p>
    <w:p>
      <w:r>
        <w:t xml:space="preserve">Ersten Gemeindegliederungsgesetz betroffen sind, das mit der landesweiten</w:t>
      </w:r>
    </w:p>
    <w:p>
      <w:r>
        <w:t xml:space="preserve">Kommunalwahl entstehende Gebiet der jeweiligen Gebietskörperschaft.</w:t>
      </w:r>
    </w:p>
    <w:p>
      <w:r>
        <w:rPr>
          <w:color w:val="555555"/>
          <w:sz w:val="17"/>
        </w:rPr>
        <w:t xml:space="preserve">Zitiervorschlag: § 7 WahlDG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https://recht.nulegal.eu/gesetze/WahlDG/7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