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WahlDG (Brandenburg) — Abgrenzung der Wahlkreise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Arbeitsgruppe bestimmt bis zum hundertfünfunddreißigsten</w:t>
      </w:r>
    </w:p>
    <w:p>
      <w:r>
        <w:t xml:space="preserve">Tag vor dem Wahltag die Zahl und Abgrenzung der Wahlkreise; die betroffenen</w:t>
      </w:r>
    </w:p>
    <w:p>
      <w:r>
        <w:t xml:space="preserve">Kreistage sollen gehört werden.</w:t>
      </w:r>
    </w:p>
    <w:p>
      <w:r>
        <w:t xml:space="preserve">(2) Hat die Arbeitsgruppe bis zu diesem Zeitpunkt keine Entscheidung</w:t>
      </w:r>
    </w:p>
    <w:p>
      <w:r>
        <w:t xml:space="preserve">getroffen, so bestimmt der Landeswahlleiter nach Anhörung der</w:t>
      </w:r>
    </w:p>
    <w:p>
      <w:r>
        <w:t xml:space="preserve">Arbeitsgruppe die Wahlkreise.</w:t>
      </w:r>
    </w:p>
    <w:p>
      <w:r>
        <w:rPr>
          <w:color w:val="555555"/>
          <w:sz w:val="17"/>
        </w:rPr>
        <w:t xml:space="preserve">Zitiervorschlag: § 6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