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WahlDG (Brandenburg) — Wahlgebiet der Landkreise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dieses Gesetzes ist jeweils das Gebiet der</w:t>
      </w:r>
    </w:p>
    <w:p>
      <w:r>
        <w:t xml:space="preserve">gemäß § 16 Satz 1 des Kreisneugliederungsgesetzes mit Ablauf</w:t>
      </w:r>
    </w:p>
    <w:p>
      <w:r>
        <w:t xml:space="preserve">des Tages der landesweiten Kreistagswahl entstehenden Landkreise.</w:t>
      </w:r>
    </w:p>
    <w:p>
      <w:r>
        <w:rPr>
          <w:color w:val="555555"/>
          <w:sz w:val="17"/>
        </w:rPr>
        <w:t xml:space="preserve">Zitiervorschlag: § 3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