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WahlDG (Brandenburg) — Geltungsbereich</w:t>
      </w:r>
    </w:p>
    <w:p>
      <w:r>
        <w:rPr>
          <w:color w:val="555555"/>
          <w:sz w:val="18"/>
        </w:rPr>
        <w:t xml:space="preserve">Wahldurchführungsgesetz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3 bis 11 dieses Gesetzes gelten nur für die Wahlen in</w:t>
      </w:r>
    </w:p>
    <w:p>
      <w:r>
        <w:t xml:space="preserve">den Landkreisen und in den vom Ersten Gemeindegliederungsgesetz betroffenen</w:t>
      </w:r>
    </w:p>
    <w:p>
      <w:r>
        <w:t xml:space="preserve">Gemeinden; im übrigen gelten die Bestimmungen des Brandenburgischen</w:t>
      </w:r>
    </w:p>
    <w:p>
      <w:r>
        <w:t xml:space="preserve">Kommunalwahlgesetzes.</w:t>
      </w:r>
    </w:p>
    <w:p>
      <w:r>
        <w:rPr>
          <w:color w:val="555555"/>
          <w:sz w:val="17"/>
        </w:rPr>
        <w:t xml:space="preserve">Zitiervorschlag: § 2 WahlDG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https://recht.nulegal.eu/gesetze/WahlDG/2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