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WahlDG (Brandenburg) — Einreichung der Wahlvorschläge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28 Abs. 7 Nr. 1 Buchstabe c und Nr. 2 Buchstabe a des</w:t>
      </w:r>
    </w:p>
    <w:p>
      <w:r>
        <w:t xml:space="preserve">Brandenburgischen Kommunalwahlgesetzes sind für die Wahl nach § 1 mit</w:t>
      </w:r>
    </w:p>
    <w:p>
      <w:r>
        <w:t xml:space="preserve">der Maßgabe anzuwenden, daß die Vertretung in einem der im</w:t>
      </w:r>
    </w:p>
    <w:p>
      <w:r>
        <w:t xml:space="preserve">Wahlgebiet befindlichen Kreistage ausreicht.</w:t>
      </w:r>
    </w:p>
    <w:p>
      <w:r>
        <w:t xml:space="preserve">(2) § 28 Abs. 7 Nr. 1 Buchstabe d und Nr. 2 Buchstabe b des</w:t>
      </w:r>
    </w:p>
    <w:p>
      <w:r>
        <w:t xml:space="preserve">Brandenburgischen Kommunalwahlgesetzes sind für die Wahl nach § 1 mit</w:t>
      </w:r>
    </w:p>
    <w:p>
      <w:r>
        <w:t xml:space="preserve">der Maßgabe anzuwenden, daß die Vertretung in einer der im</w:t>
      </w:r>
    </w:p>
    <w:p>
      <w:r>
        <w:t xml:space="preserve">Wahlgebiet befindlichen Gemeindevertretung oder Stadtverordnetenversammlung</w:t>
      </w:r>
    </w:p>
    <w:p>
      <w:r>
        <w:t xml:space="preserve">ausreicht.</w:t>
      </w:r>
    </w:p>
    <w:p>
      <w:r>
        <w:rPr>
          <w:color w:val="555555"/>
          <w:sz w:val="17"/>
        </w:rPr>
        <w:t xml:space="preserve">Zitiervorschlag: § 11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