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WahlDG (Brandenburg) — Bildung der Wahlausschüsse</w:t>
      </w:r>
    </w:p>
    <w:p>
      <w:r>
        <w:rPr>
          <w:color w:val="555555"/>
          <w:sz w:val="18"/>
        </w:rPr>
        <w:t xml:space="preserve">Wahldurchführungsgesetz 1993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Für die Bildung der Wahlausschüsse in den Gemeinden gilt § 5</w:t>
      </w:r>
    </w:p>
    <w:p>
      <w:r>
        <w:t xml:space="preserve">entsprechend.</w:t>
      </w:r>
    </w:p>
    <w:p>
      <w:r>
        <w:rPr>
          <w:color w:val="555555"/>
          <w:sz w:val="17"/>
        </w:rPr>
        <w:t xml:space="preserve">Zitiervorschlag: § 10 WahlDG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https://recht.nulegal.eu/gesetze/WahlDG/10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