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WahlDG (Brandenburg) — Wahlzeitpunkt</w:t>
      </w:r>
    </w:p>
    <w:p>
      <w:r>
        <w:rPr>
          <w:color w:val="555555"/>
          <w:sz w:val="18"/>
        </w:rPr>
        <w:t xml:space="preserve">Wahldurchführungsgesetz 1993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Wahlen zu den Gemeindevertretungen, Stadtverordnetenversammlungen und</w:t>
      </w:r>
    </w:p>
    <w:p>
      <w:r>
        <w:t xml:space="preserve">Kreistagen sowie die unmittelbare Wahl der Bürgermeister und</w:t>
      </w:r>
    </w:p>
    <w:p>
      <w:r>
        <w:t xml:space="preserve">Oberbürgermeister finden am 5. Dezember 1993 statt.</w:t>
      </w:r>
    </w:p>
    <w:p>
      <w:r>
        <w:rPr>
          <w:color w:val="555555"/>
          <w:sz w:val="17"/>
        </w:rPr>
        <w:t xml:space="preserve">Zitiervorschlag: § 1 WahlDG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https://recht.nulegal.eu/gesetze/WahlDG/1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