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WaffV 5</w:t>
      </w:r>
    </w:p>
    <w:p>
      <w:r>
        <w:rPr>
          <w:color w:val="555555"/>
          <w:sz w:val="18"/>
        </w:rPr>
        <w:t xml:space="preserve">Fünfte Verordnung zum Waffengesetz</w:t>
      </w:r>
    </w:p>
    <w:p>
      <w:r>
        <w:rPr>
          <w:color w:val="555555"/>
          <w:sz w:val="18"/>
        </w:rPr>
        <w:t xml:space="preserve">Historische Fassung: Stand 10.06.2019 bis 04.12.2020. Dies ist nicht die aktuelle Fassung.</w:t>
      </w:r>
    </w:p>
    <w:p>
      <w:r>
        <w:t xml:space="preserve">Auf Grund des § 6 Abs. 1 Satz 3 des Waffengesetzes in der Fassung der Bekanntmachung vom 8. März 1976 (Bundesgesetzbl. I S. 432) verordnet die Bundesregierung:</w:t>
      </w:r>
    </w:p>
    <w:p>
      <w:r>
        <w:rPr>
          <w:color w:val="555555"/>
          <w:sz w:val="17"/>
        </w:rPr>
        <w:t xml:space="preserve">Zitiervorschlag: Eingangsformel WaffV 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https://recht.nulegal.eu/gesetze/WaffV%205/eingangsformel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