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WaffV 4</w:t>
      </w:r>
    </w:p>
    <w:p>
      <w:r>
        <w:rPr>
          <w:color w:val="555555"/>
          <w:sz w:val="18"/>
        </w:rPr>
        <w:t xml:space="preserve">Kostenverordnung zum Waffengesetz</w:t>
      </w:r>
    </w:p>
    <w:p>
      <w:r>
        <w:rPr>
          <w:color w:val="555555"/>
          <w:sz w:val="18"/>
        </w:rPr>
        <w:t xml:space="preserve">Historische Fassung: Stand 10.06.2019 bis 02.10.2019. Dies ist nicht die aktuelle Fassung.</w:t>
      </w:r>
    </w:p>
    <w:p>
      <w:r>
        <w:t xml:space="preserve">Das Bundeskriminalamt kann das Fraunhofer-Institut für Umweltchemie und Ökotoxikologie ermächtigen, die Gebühren und Auslagen für die nach § 10 der 1. WaffV durchzuführenden Prüfungen einzuziehen.</w:t>
      </w:r>
    </w:p>
    <w:p>
      <w:r>
        <w:rPr>
          <w:color w:val="555555"/>
          <w:sz w:val="17"/>
        </w:rPr>
        <w:t xml:space="preserve">Zitiervorschlag: § 7 WaffV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https://recht.nulegal.eu/gesetze/WaffV%204/7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