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WaffV 4</w:t>
      </w:r>
    </w:p>
    <w:p>
      <w:r>
        <w:rPr>
          <w:color w:val="555555"/>
          <w:sz w:val="18"/>
        </w:rPr>
        <w:t xml:space="preserve">Kostenverordnung zum Waffengesetz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(1) Die Gebühr ist nach dem Verwaltungsaufwand zu berechnen</w:t>
      </w:r>
    </w:p>
    <w:p>
      <w:pPr>
        <w:ind w:left="420"/>
      </w:pPr>
      <w:r>
        <w:t xml:space="preserve">1. für die im Zulassungsverfahren erforderliche Prüfung,</w:t>
      </w:r>
    </w:p>
    <w:p>
      <w:pPr>
        <w:ind w:left="420"/>
      </w:pPr>
      <w:r>
        <w:t xml:space="preserve">2. für die Prüfung bei der Entscheidung über Ausnahmen nach § 21 Abs. 6, § 22 Abs. 4, § 23 Abs. 4, § 25 Abs. 5 und § 37 Abs. 3 des Gesetzes,</w:t>
      </w:r>
    </w:p>
    <w:p>
      <w:pPr>
        <w:ind w:left="420"/>
      </w:pPr>
      <w:r>
        <w:t xml:space="preserve">3. für die Prüfung von Reizstoffgeschossen, Reizstoffsprühgeräten und von den dafür verwendeten Reizstoffen (§ 10 der Ersten Verordnung zum Waffengesetz in der Fassung der Bekanntmachung vom 10. März 1987 - BGBl. I S. 777) in der jeweils geltenden Fassung,</w:t>
      </w:r>
    </w:p>
    <w:p>
      <w:pPr>
        <w:ind w:left="420"/>
      </w:pPr>
      <w:r>
        <w:t xml:space="preserve">4. für die Beschußprüfung</w:t>
      </w:r>
    </w:p>
    <w:p>
      <w:pPr>
        <w:ind w:left="780"/>
      </w:pPr>
      <w:r>
        <w:t xml:space="preserve">a) bei Handfeuerwaffen, Einsteckläufen und Austauschläufen, bei denen zum Antrieb des Geschosses ein entzündbares flüssiges oder gasförmiges Gemisch verwendet wird,</w:t>
      </w:r>
    </w:p>
    <w:p>
      <w:pPr>
        <w:ind w:left="780"/>
      </w:pPr>
      <w:r>
        <w:t xml:space="preserve">b) bei nicht der Beschußpflicht unterliegenden Gegenständen, soweit in Abschnitt II Nr. 19 der Anlage keine feste Gebühr vorgeschrieben ist,</w:t>
      </w:r>
    </w:p>
    <w:p>
      <w:pPr>
        <w:ind w:left="780"/>
      </w:pPr>
      <w:r>
        <w:t xml:space="preserve">c) wenn die Behörde einen über den üblichen Umfang der Prüfung erforderlichen Mehraufwand benötigt oder bei Schußwaffen, deren Patronenlager- oder Laufinnenabmessungen nicht in den Maßtafeln (BAnz. Nr. 52a vom 15. März 1991) enthalten sind,</w:t>
      </w:r>
    </w:p>
    <w:p>
      <w:pPr>
        <w:ind w:left="780"/>
      </w:pPr>
      <w:r>
        <w:t xml:space="preserve">d) bei Böllern und Modellkanonen,</w:t>
      </w:r>
    </w:p>
    <w:p>
      <w:pPr>
        <w:ind w:left="420"/>
      </w:pPr>
      <w:r>
        <w:t xml:space="preserve">5. für die Prüfung von Schußapparaten und Einsteckläufen nach § 14a und § 14b Abs. 1 der Dritten Verordnung zum Waffengesetz vom 20. Dezember 1980 (BGBl. I S. 2344) in der jeweils geltenden Fassung und für die behördliche Kontrolle von Munition nach § 25 Abs. 3 und § 26 Abs. 1 jener Verordnung.</w:t>
      </w:r>
    </w:p>
    <w:p>
      <w:r>
        <w:t xml:space="preserve">(2) Werden Prüfungen außerhalb der Behörde durchgeführt, so sind Gebühren nach dem Verwaltungsaufwand auch für</w:t>
      </w:r>
    </w:p>
    <w:p>
      <w:pPr>
        <w:ind w:left="420"/>
      </w:pPr>
      <w:r>
        <w:t xml:space="preserve">1. Reisezeiten,</w:t>
      </w:r>
    </w:p>
    <w:p>
      <w:pPr>
        <w:ind w:left="420"/>
      </w:pPr>
      <w:r>
        <w:t xml:space="preserve">2. Wartezeiten, die vom Kostenschuldner zu vertreten sind,</w:t>
      </w:r>
    </w:p>
    <w:p>
      <w:r>
        <w:t xml:space="preserve">zu berechnen, soweit die Zeiten innerhalb der üblichen Arbeitszeit liegen oder von der Behörde besonders abgegolten werden.</w:t>
      </w:r>
    </w:p>
    <w:p>
      <w:r>
        <w:t xml:space="preserve">(3) Bei der Berechnung der Gebühr nach dem Verwaltungsaufwand sind als Stundensätze zugrunde zu legen</w:t>
      </w:r>
    </w:p>
    <w:p>
      <w:pPr>
        <w:ind w:left="420"/>
      </w:pPr>
      <w:r>
        <w:t xml:space="preserve">1. bei der Tätigkeit von Einrichtungen des Bundes die für die jeweils in Anspruch genommene Einrichtung durch Gesetz oder auf Grund eines Gesetzes festgelegten Stundensätze,</w:t>
      </w:r>
    </w:p>
    <w:p>
      <w:pPr>
        <w:ind w:left="420"/>
      </w:pPr>
      <w:r>
        <w:t xml:space="preserve">2. bei der Tätigkeit von Einrichtungen eines Landes die für diese Tätigkeit durch Gesetz oder auf Grund eines Gesetzes eigens festgelegten Stundensätze,</w:t>
      </w:r>
    </w:p>
    <w:p>
      <w:pPr>
        <w:ind w:left="420"/>
      </w:pPr>
      <w:r>
        <w:t xml:space="preserve">3. bei der Tätigkeit sonstiger Einrichtungen die für diese Tätigkeit durch Landesgesetz oder auf Grund eines Landesgesetzes eigens festgelegten Stundensätze.</w:t>
      </w:r>
    </w:p>
    <w:p>
      <w:r>
        <w:t xml:space="preserve">Sind für die Tätigkeit dieser Einrichtungen nicht eigens Stundensätze durch Gesetz oder auf Grund eines Gesetzes festgelegt, sind die Stundensätze des § 3 Abs. 1 der Kostenordnung für Nutzleistungen der Physikalisch-Technischen Bundesanstalt vom 17. Dezember 1970 (BGBl. I S. 1745) in der jeweils geltenden Fassung zugrunde zu legen.</w:t>
      </w:r>
    </w:p>
    <w:p>
      <w:r>
        <w:rPr>
          <w:color w:val="555555"/>
          <w:sz w:val="17"/>
        </w:rPr>
        <w:t xml:space="preserve">Zitiervorschlag: § 2 WaffV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