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WaffV 4</w:t>
      </w:r>
    </w:p>
    <w:p>
      <w:r>
        <w:rPr>
          <w:color w:val="555555"/>
          <w:sz w:val="18"/>
        </w:rPr>
        <w:t xml:space="preserve">Kostenverordnung zum Waffengesetz</w:t>
      </w:r>
    </w:p>
    <w:p>
      <w:r>
        <w:rPr>
          <w:color w:val="555555"/>
          <w:sz w:val="18"/>
        </w:rPr>
        <w:t xml:space="preserve">Historische Fassung: Stand 10.06.2019 bis 02.10.2019. Dies ist nicht die aktuelle Fassung.</w:t>
      </w:r>
    </w:p>
    <w:p>
      <w:r>
        <w:t xml:space="preserve">Die Gebühren für Amtshandlungen, Prüfungen und Untersuchungen nach dem Waffengesetz (Gesetz) und nach den auf dem Gesetz beruhenden Rechtsvorschriften bestimmen sich nach dem Gebührenverzeichnis der Anlage, sofern die Gebühr nicht gemäß § 2 nach dem Verwaltungsaufwand berechnet wird.</w:t>
      </w:r>
    </w:p>
    <w:p>
      <w:r>
        <w:rPr>
          <w:color w:val="555555"/>
          <w:sz w:val="17"/>
        </w:rPr>
        <w:t xml:space="preserve">Zitiervorschlag: § 1 WaffV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https://recht.nulegal.eu/gesetze/WaffV%204/1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