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WaffRG — Datenübermittlung der gewerblichen Waffenhersteller und Waffenhändler an die Waffenbehörden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Inhaber einer Erlaubnis nach § 21 Absatz 1 Satz 1 des Waffengesetzes haben zur Erfüllung ihrer elektronischen Anzeigepflichten nach den §§ 37, 37b, 37c Absatz 1 und § 37d des Waffengesetzes das von den Waffenbehörden bereitgestellte automatisierte Fachverfahren zu nutzen. Das automatisierte Fachverfahren übermittelt diese Daten im Auftrag der Waffenbehörden an die Registerbehörde.</w:t>
      </w:r>
    </w:p>
    <w:p>
      <w:r>
        <w:t xml:space="preserve">(2) Sind für in § 6 genannte Daten Ordnungsnummern nach § 7 vergeben worden, hat der Inhaber einer Erlaubnis nach § 21 Absatz 1 Satz 1 bei der Datenübermittlung nach Absatz 1 insoweit jeweils nur diese Ordnungsnummern zu übermitteln. Zusätzlich zur Waffen-Ordnungsnummer sind Herstellerbezeichnung, Kaliber- oder Munitionsbezeichnung und Art der Waffe zu übermitteln.</w:t>
      </w:r>
    </w:p>
    <w:p>
      <w:r>
        <w:t xml:space="preserve">(3) Soweit die örtliche Waffenbehörde den Zugang eröffnet hat, erteilt sie Inhabern einer Erlaubnis nach § 21 Absatz 1 Satz 1 des Waffengesetzes, die für sie Daten nach Absatz 1 übermitteln, auf Antrag Auskunft zu den zu deren Erlaubnis gespeicherten Waffendaten. Der Antrag darf in jedem Kalenderhalbjahr einmal gestellt werden. Die Beauskunftung erfolgt, in dem die entsprechenden Ordnungsnummern nach § 7 dem Erlaubnisinhaber schriftlich oder elektronisch zur Verfügung gestellt werden.</w:t>
      </w:r>
    </w:p>
    <w:p>
      <w:r>
        <w:t xml:space="preserve">(4) Auskunftsrechte nach Artikel 15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bleiben unberührt.</w:t>
      </w:r>
    </w:p>
    <w:p>
      <w:r>
        <w:rPr>
          <w:color w:val="555555"/>
          <w:sz w:val="17"/>
        </w:rPr>
        <w:t xml:space="preserve">Zitiervorschlag: § 9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