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WaffRG — Anlass für die Verarbeitung im Waffenregister</w:t>
      </w:r>
    </w:p>
    <w:p>
      <w:r>
        <w:rPr>
          <w:color w:val="555555"/>
          <w:sz w:val="18"/>
        </w:rPr>
        <w:t xml:space="preserve">Waffenregistergesetz</w:t>
      </w:r>
    </w:p>
    <w:p>
      <w:r>
        <w:rPr>
          <w:color w:val="555555"/>
          <w:sz w:val="18"/>
        </w:rPr>
        <w:t xml:space="preserve">Stand: 01.09.2020 (konsolidierte Textfassung, kein amtliches Inkrafttretensdatum)</w:t>
      </w:r>
    </w:p>
    <w:p>
      <w:r>
        <w:t xml:space="preserve">Die Verarbeitung von Daten im Waffenregister setzt voraus, dass</w:t>
      </w:r>
    </w:p>
    <w:p>
      <w:pPr>
        <w:ind w:left="420"/>
      </w:pPr>
      <w:r>
        <w:t xml:space="preserve">1. ein Antrag auf Erteilung einer waffenrechtlichen Erlaubnis gestellt wird,</w:t>
      </w:r>
    </w:p>
    <w:p>
      <w:pPr>
        <w:ind w:left="420"/>
      </w:pPr>
      <w:r>
        <w:t xml:space="preserve">2. eine Person nach § 28 Absatz 3 Satz 1 des Waffengesetzes benannt wird,</w:t>
      </w:r>
    </w:p>
    <w:p>
      <w:pPr>
        <w:ind w:left="420"/>
      </w:pPr>
      <w:r>
        <w:t xml:space="preserve">3. die Waffenbehörde eine waffenrechtliche Erlaubnis</w:t>
      </w:r>
    </w:p>
    <w:p>
      <w:pPr>
        <w:ind w:left="780"/>
      </w:pPr>
      <w:r>
        <w:t xml:space="preserve">a) erteilt,</w:t>
      </w:r>
    </w:p>
    <w:p>
      <w:pPr>
        <w:ind w:left="780"/>
      </w:pPr>
      <w:r>
        <w:t xml:space="preserve">b) nach § 10 Absatz 4 Satz 2, § 21 Absatz 5 Satz 2 oder § 32 Absatz 6 des Waffengesetzes verlängert oder</w:t>
      </w:r>
    </w:p>
    <w:p>
      <w:pPr>
        <w:ind w:left="780"/>
      </w:pPr>
      <w:r>
        <w:t xml:space="preserve">c) versagt, sofern die Versagung erfolgt auf Grund von</w:t>
      </w:r>
    </w:p>
    <w:p>
      <w:pPr>
        <w:ind w:left="1140"/>
      </w:pPr>
      <w:r>
        <w:t xml:space="preserve">aa) § 4 Absatz 1 Nummer 2 in Verbindung mit § 5 Absatz 1 Nummer 2 oder mit Absatz 2 Nummer 2, 3 oder Nummer 4 des Waffengesetzes oder</w:t>
      </w:r>
    </w:p>
    <w:p>
      <w:pPr>
        <w:ind w:left="1140"/>
      </w:pPr>
      <w:r>
        <w:t xml:space="preserve">bb) § 4 Absatz 1 Nummer 2 in Verbindung mit § 6 Absatz 1 Satz 1 und 2 des Waffengesetzes,</w:t>
      </w:r>
    </w:p>
    <w:p>
      <w:pPr>
        <w:ind w:left="420"/>
      </w:pPr>
      <w:r>
        <w:t xml:space="preserve">4. die Waffenbehörde eines der folgenden Verbote erteilt:</w:t>
      </w:r>
    </w:p>
    <w:p>
      <w:pPr>
        <w:ind w:left="780"/>
      </w:pPr>
      <w:r>
        <w:t xml:space="preserve">a) ein Besitz- und Erwerbsverbot nach § 41 Absatz 1 des Waffengesetzes,</w:t>
      </w:r>
    </w:p>
    <w:p>
      <w:pPr>
        <w:ind w:left="780"/>
      </w:pPr>
      <w:r>
        <w:t xml:space="preserve">b) ein Besitzverbot nach § 41 Absatz 2 des Waffengesetzes oder</w:t>
      </w:r>
    </w:p>
    <w:p>
      <w:pPr>
        <w:ind w:left="780"/>
      </w:pPr>
      <w:r>
        <w:t xml:space="preserve">c) ein Besitz- und Erwerbsverbot nach § 41 Absatz 1 und 2 des Waffengesetzes,</w:t>
      </w:r>
    </w:p>
    <w:p>
      <w:pPr>
        <w:ind w:left="420"/>
      </w:pPr>
      <w:r>
        <w:t xml:space="preserve">5. die waffenrechtliche Erlaubnis sich erledigt durch</w:t>
      </w:r>
    </w:p>
    <w:p>
      <w:pPr>
        <w:ind w:left="780"/>
      </w:pPr>
      <w:r>
        <w:t xml:space="preserve">a) Rücknahme,</w:t>
      </w:r>
    </w:p>
    <w:p>
      <w:pPr>
        <w:ind w:left="780"/>
      </w:pPr>
      <w:r>
        <w:t xml:space="preserve">b) Widerruf,</w:t>
      </w:r>
    </w:p>
    <w:p>
      <w:pPr>
        <w:ind w:left="780"/>
      </w:pPr>
      <w:r>
        <w:t xml:space="preserve">c) Zeitablauf,</w:t>
      </w:r>
    </w:p>
    <w:p>
      <w:pPr>
        <w:ind w:left="780"/>
      </w:pPr>
      <w:r>
        <w:t xml:space="preserve">d) Erklärung eines Verzichts während oder außerhalb eines eingeleiteten Widerrufs- oder Rücknahmeverfahrens,</w:t>
      </w:r>
    </w:p>
    <w:p>
      <w:pPr>
        <w:ind w:left="780"/>
      </w:pPr>
      <w:r>
        <w:t xml:space="preserve">e) anderweitige Aufhebung oder</w:t>
      </w:r>
    </w:p>
    <w:p>
      <w:pPr>
        <w:ind w:left="780"/>
      </w:pPr>
      <w:r>
        <w:t xml:space="preserve">f) auf andere Weise,</w:t>
      </w:r>
    </w:p>
    <w:p>
      <w:pPr>
        <w:ind w:left="420"/>
      </w:pPr>
      <w:r>
        <w:t xml:space="preserve">6. die Waffenbehörde</w:t>
      </w:r>
    </w:p>
    <w:p>
      <w:pPr>
        <w:ind w:left="780"/>
      </w:pPr>
      <w:r>
        <w:t xml:space="preserve">a) Beschränkungen erlässt,</w:t>
      </w:r>
    </w:p>
    <w:p>
      <w:pPr>
        <w:ind w:left="780"/>
      </w:pPr>
      <w:r>
        <w:t xml:space="preserve">b) Nebenbestimmungen erlässt oder</w:t>
      </w:r>
    </w:p>
    <w:p>
      <w:pPr>
        <w:ind w:left="780"/>
      </w:pPr>
      <w:r>
        <w:t xml:space="preserve">c) Anordnungen erlässt,</w:t>
      </w:r>
    </w:p>
    <w:p>
      <w:pPr>
        <w:ind w:left="420"/>
      </w:pPr>
      <w:r>
        <w:t xml:space="preserve">7. gegenüber der Waffenbehörde eine Anzeige nach den §§ 37, 37a, 37b, 37c Absatz 1 oder § 37d des Waffengesetzes erfolgt,</w:t>
      </w:r>
    </w:p>
    <w:p>
      <w:pPr>
        <w:ind w:left="420"/>
      </w:pPr>
      <w:r>
        <w:t xml:space="preserve">8. der Inhaber einer Erlaubnis nach § 10 Absatz 2 Satz 1 oder Satz 2 eine verantwortliche Person nach § 10 Absatz 2 Satz 3 des Waffengesetzes benennt oder</w:t>
      </w:r>
    </w:p>
    <w:p>
      <w:pPr>
        <w:ind w:left="420"/>
      </w:pPr>
      <w:r>
        <w:t xml:space="preserve">9. die Waffenbehörde eine Anzeigebescheinigung nach § 37h Absatz 1 Nummer 2 des Waffengesetzes erteilt.</w:t>
      </w:r>
    </w:p>
    <w:p>
      <w:r>
        <w:rPr>
          <w:color w:val="555555"/>
          <w:sz w:val="17"/>
        </w:rPr>
        <w:t xml:space="preserve">Zitiervorschlag: § 5 WaffRG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https://recht.nulegal.eu/gesetze/WaffRG/5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