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WaffRG — Registerbehörde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Das Waffenregister wird von der Registerbehörde geführt.</w:t>
      </w:r>
    </w:p>
    <w:p>
      <w:r>
        <w:t xml:space="preserve">(2) Registerbehörde ist das Bundesverwaltungsamt.</w:t>
      </w:r>
    </w:p>
    <w:p>
      <w:r>
        <w:t xml:space="preserve">(3) Die Registerbehörde verarbeitet die ihr nach diesem Gesetz übermittelten Daten nur nach Maßgabe dieses Gesetzes.</w:t>
      </w:r>
    </w:p>
    <w:p>
      <w:r>
        <w:rPr>
          <w:color w:val="555555"/>
          <w:sz w:val="17"/>
        </w:rPr>
        <w:t xml:space="preserve">Zitiervorschlag: § 3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