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29 WaffRG — Einschränkung der Verarbeitung</w:t>
      </w:r>
    </w:p>
    <w:p>
      <w:r>
        <w:rPr>
          <w:color w:val="555555"/>
          <w:sz w:val="18"/>
        </w:rPr>
        <w:t xml:space="preserve">Waffenregistergesetz</w:t>
      </w:r>
    </w:p>
    <w:p>
      <w:r>
        <w:rPr>
          <w:color w:val="555555"/>
          <w:sz w:val="18"/>
        </w:rPr>
        <w:t xml:space="preserve">Stand: 01.09.2020 (konsolidierte Textfassung, kein amtliches Inkrafttretensdatum)</w:t>
      </w:r>
    </w:p>
    <w:p>
      <w:r>
        <w:t xml:space="preserve">Die Verarbeitung von Daten, die nach § 27 Absatz 1 Satz 1 spätestens nach Ablauf von 30 Jahren zu löschen sind, wird für eine in § 13 Nummer 1 oder Nummer 5 berechtigte Stelle nach Ablauf von zehn Jahren eingeschränkt.</w:t>
      </w:r>
    </w:p>
    <w:p>
      <w:r>
        <w:rPr>
          <w:color w:val="555555"/>
          <w:sz w:val="17"/>
        </w:rPr>
        <w:t xml:space="preserve">Zitiervorschlag: § 29 WaffRG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https://recht.nulegal.eu/gesetze/WaffRG/29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