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WaffRG — Verantwortlichkeiten für die Löschung</w:t>
      </w:r>
    </w:p>
    <w:p>
      <w:r>
        <w:rPr>
          <w:color w:val="555555"/>
          <w:sz w:val="18"/>
        </w:rPr>
        <w:t xml:space="preserve">Waffenregistergesetz</w:t>
      </w:r>
    </w:p>
    <w:p>
      <w:r>
        <w:rPr>
          <w:color w:val="555555"/>
          <w:sz w:val="18"/>
        </w:rPr>
        <w:t xml:space="preserve">Stand: 01.09.2020 (konsolidierte Textfassung, kein amtliches Inkrafttretensdatum)</w:t>
      </w:r>
    </w:p>
    <w:p>
      <w:r>
        <w:t xml:space="preserve">Die zuständige Waffenbehörde ist für die Löschung der im Waffenregister verarbeiteten Daten verantwortlich. Die Registerbehörde hat diese Daten auf Verlangen der zuständigen Waffenbehörde zu löschen. Unzulässig verarbeitete Daten sind von der Registerbehörde im Benehmen mit der zuständigen Waffenbehörde unverzüglich zu löschen.</w:t>
      </w:r>
    </w:p>
    <w:p>
      <w:r>
        <w:rPr>
          <w:color w:val="555555"/>
          <w:sz w:val="17"/>
        </w:rPr>
        <w:t xml:space="preserve">Zitiervorschlag: § 28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