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WaffRG — Zweckänderung bei der Datenverarbeitung</w:t>
      </w:r>
    </w:p>
    <w:p>
      <w:r>
        <w:rPr>
          <w:color w:val="555555"/>
          <w:sz w:val="18"/>
        </w:rPr>
        <w:t xml:space="preserve">Waffenregistergesetz</w:t>
      </w:r>
    </w:p>
    <w:p>
      <w:r>
        <w:rPr>
          <w:color w:val="555555"/>
          <w:sz w:val="18"/>
        </w:rPr>
        <w:t xml:space="preserve">Stand: 01.09.2020 (konsolidierte Textfassung, kein amtliches Inkrafttretensdatum)</w:t>
      </w:r>
    </w:p>
    <w:p>
      <w:r>
        <w:t xml:space="preserve">Die Verarbeitung personenbezogener Daten durch die ersuchende oder abrufende Stelle zu einem anderen Zweck als zu demjenigen, zu dem die Daten übermittelt wurden, ist zulässig, soweit die Daten dieser Stelle auch zu diesem anderen Zwecke hätten übermittelt werden dürfen. § 25 ist entsprechend anzuwenden.</w:t>
      </w:r>
    </w:p>
    <w:p>
      <w:r>
        <w:rPr>
          <w:color w:val="555555"/>
          <w:sz w:val="17"/>
        </w:rPr>
        <w:t xml:space="preserve">Zitiervorschlag: § 26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