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WaffRG — Protokollierungspflicht bei der Datenübermittlung</w:t>
      </w:r>
    </w:p>
    <w:p>
      <w:r>
        <w:rPr>
          <w:color w:val="555555"/>
          <w:sz w:val="18"/>
        </w:rPr>
        <w:t xml:space="preserve">Waffenregistergesetz</w:t>
      </w:r>
    </w:p>
    <w:p>
      <w:r>
        <w:rPr>
          <w:color w:val="555555"/>
          <w:sz w:val="18"/>
        </w:rPr>
        <w:t xml:space="preserve">Stand: 01.09.2020 (konsolidierte Textfassung, kein amtliches Inkrafttretensdatum)</w:t>
      </w:r>
    </w:p>
    <w:p>
      <w:r>
        <w:t xml:space="preserve">(1) Die Registerbehörde erstellt bei Datenübermittlungen an die ersuchenden Stellen Protokolle, aus denen Folgendes hervorgeht:</w:t>
      </w:r>
    </w:p>
    <w:p>
      <w:pPr>
        <w:ind w:left="420"/>
      </w:pPr>
      <w:r>
        <w:t xml:space="preserve">1. der Tag und die Uhrzeit des Zugriffs oder der Tag und die Uhrzeit des Abrufs im Fall des automatisierten Verfahrens auf Abruf,</w:t>
      </w:r>
    </w:p>
    <w:p>
      <w:pPr>
        <w:ind w:left="420"/>
      </w:pPr>
      <w:r>
        <w:t xml:space="preserve">2. die ersuchende oder im Fall des automatisierten Verfahrens die abrufende Stelle,</w:t>
      </w:r>
    </w:p>
    <w:p>
      <w:pPr>
        <w:ind w:left="420"/>
      </w:pPr>
      <w:r>
        <w:t xml:space="preserve">3. die abrufende Person,</w:t>
      </w:r>
    </w:p>
    <w:p>
      <w:pPr>
        <w:ind w:left="420"/>
      </w:pPr>
      <w:r>
        <w:t xml:space="preserve">4. die übermittelten Daten und</w:t>
      </w:r>
    </w:p>
    <w:p>
      <w:pPr>
        <w:ind w:left="420"/>
      </w:pPr>
      <w:r>
        <w:t xml:space="preserve">5. der Anlass und Zweck der Übermittlung.</w:t>
      </w:r>
    </w:p>
    <w:p>
      <w:r>
        <w:t xml:space="preserve">Im Fall einer Gruppenauskunft sind zusätzlich die im Übermittlungsersuchen angegebenen gemeinsamen Merkmale und die Anzahl der Treffer zu protokollieren.</w:t>
      </w:r>
    </w:p>
    <w:p>
      <w:r>
        <w:t xml:space="preserve">(2) § 12 Absatz 2 bis 4 gilt entsprechend.</w:t>
      </w:r>
    </w:p>
    <w:p>
      <w:r>
        <w:t xml:space="preserve">(3) Abweichend von Absatz 1 sind Abrufe der Verfassungsschutzbehörden des Bundes und der Länder, des Militärischen Abschirmdienstes und des Bundesnachrichtendienstes ausschließlich von diesen entsprechend § 6 Absatz 3 Satz 2 bis 5 des Bundesverfassungsschutzgesetzes zu protokollieren.</w:t>
      </w:r>
    </w:p>
    <w:p>
      <w:r>
        <w:rPr>
          <w:color w:val="555555"/>
          <w:sz w:val="17"/>
        </w:rPr>
        <w:t xml:space="preserve">Zitiervorschlag: § 25 WaffRG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https://recht.nulegal.eu/gesetze/WaffRG/25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