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WaffRG — Datenübermittlung für statistische Zwecke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Registerbehörde übermittelt auf Antrag anonymisierte Geschäftsstatistiken an folgende Stellen:</w:t>
      </w:r>
    </w:p>
    <w:p>
      <w:pPr>
        <w:ind w:left="420"/>
      </w:pPr>
      <w:r>
        <w:t xml:space="preserve">1. die obersten und oberen Bundes- und Landesbehörden, die für das Waffenrecht zuständig sind,</w:t>
      </w:r>
    </w:p>
    <w:p>
      <w:pPr>
        <w:ind w:left="420"/>
      </w:pPr>
      <w:r>
        <w:t xml:space="preserve">2. die Waffenbehörden,</w:t>
      </w:r>
    </w:p>
    <w:p>
      <w:pPr>
        <w:ind w:left="420"/>
      </w:pPr>
      <w:r>
        <w:t xml:space="preserve">3. die Landeskriminalämter, das Bundeskriminalamt und das Zollkriminalamt sowie</w:t>
      </w:r>
    </w:p>
    <w:p>
      <w:pPr>
        <w:ind w:left="420"/>
      </w:pPr>
      <w:r>
        <w:t xml:space="preserve">4. die Fachliche Leitstelle Nationales Waffenregister.</w:t>
      </w:r>
    </w:p>
    <w:p>
      <w:r>
        <w:t xml:space="preserve">Die Geschäftsstatistik ist auf den Zuständigkeitsbereich der ersuchenden Stelle zu begrenzen. Die Bundesgeschäftsstatistik kann auf Antrag an jede nach Satz 1 berechtigte Stelle übermittelt werden.</w:t>
      </w:r>
    </w:p>
    <w:p>
      <w:r>
        <w:t xml:space="preserve">(2) Die Registerbehörde stellt im Einvernehmen mit den Ländern Teile der Geschäftsstatistiken des Bundes und der Länder mindestens quartalsweise auf geeignete Weise öffentlich bereit.</w:t>
      </w:r>
    </w:p>
    <w:p>
      <w:r>
        <w:t xml:space="preserve">(3) Die Registerbehörde kann auf Antrag Einzelauswertungen an die in Absatz 1 Satz 1 genannten Stellen übermitteln. Absatz 1 Satz 2 gilt entsprechend.</w:t>
      </w:r>
    </w:p>
    <w:p>
      <w:r>
        <w:rPr>
          <w:color w:val="555555"/>
          <w:sz w:val="17"/>
        </w:rPr>
        <w:t xml:space="preserve">Zitiervorschlag: § 24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