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WaffRG — Gruppenauskunft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In einem Übermittlungsersuchen kann um die Übermittlung mehrerer Daten ersucht werden, die nicht mit jeweils allen nach § 15 Absatz 2 erforderlichen Angaben bezeichnet sind (Gruppenauskunft), wenn</w:t>
      </w:r>
    </w:p>
    <w:p>
      <w:pPr>
        <w:ind w:left="420"/>
      </w:pPr>
      <w:r>
        <w:t xml:space="preserve">1. dies im Einzelfall erforderlich ist</w:t>
      </w:r>
    </w:p>
    <w:p>
      <w:pPr>
        <w:ind w:left="780"/>
      </w:pPr>
      <w:r>
        <w:t xml:space="preserve">a) bei einem Ersuchen der Polizeien des Bundes und der Länder</w:t>
      </w:r>
    </w:p>
    <w:p>
      <w:pPr>
        <w:ind w:left="1140"/>
      </w:pPr>
      <w:r>
        <w:t xml:space="preserve">aa) zur Abwehr einer konkreten Gefahr für in § 17 Absatz 1 Nummer 1 genannten Rechtsgüter,</w:t>
      </w:r>
    </w:p>
    <w:p>
      <w:pPr>
        <w:ind w:left="1140"/>
      </w:pPr>
      <w:r>
        <w:t xml:space="preserve">bb) zur Abwehr einer konkreten Gefahr für bedeutende Sach- oder Vermögenswerte oder</w:t>
      </w:r>
    </w:p>
    <w:p>
      <w:pPr>
        <w:ind w:left="1140"/>
      </w:pPr>
      <w:r>
        <w:t xml:space="preserve">cc) für Zwecke der Strafrechtspflege,</w:t>
      </w:r>
    </w:p>
    <w:p>
      <w:pPr>
        <w:ind w:left="780"/>
      </w:pPr>
      <w:r>
        <w:t xml:space="preserve">b) bei einem Ersuchen der Verfassungsschutzbehörden des Bundes und der Länder zur Aufklärung von Tätigkeiten und Bestrebungen im Sinne des § 17 Absatz 1 Nummer 2,</w:t>
      </w:r>
    </w:p>
    <w:p>
      <w:pPr>
        <w:ind w:left="780"/>
      </w:pPr>
      <w:r>
        <w:t xml:space="preserve">c) bei einem Ersuchen des Militärischen Abschirmdienstes zur Aufklärung von Tätigkeiten und Bestrebungen im Sinne von § 17 Absatz 1 Nummer 3 oder</w:t>
      </w:r>
    </w:p>
    <w:p>
      <w:pPr>
        <w:ind w:left="780"/>
      </w:pPr>
      <w:r>
        <w:t xml:space="preserve">d) bei einem Ersuchen des Bundesnachrichtendienstes zur Aufgabenerfüllung nach § 1 Absatz 2 Satz 1 des BND-Gesetzes, sofern das Aufklärungsobjekt darauf abzielt, Gewalt anzuwenden oder Gewaltanwendung vorzubereiten,</w:t>
      </w:r>
    </w:p>
    <w:p>
      <w:pPr>
        <w:ind w:left="420"/>
      </w:pPr>
      <w:r>
        <w:t xml:space="preserve">2. die Daten nicht auf andere Weise, nur mit unverhältnismäßigem Aufwand oder nicht rechtzeitig erlangt werden können,</w:t>
      </w:r>
    </w:p>
    <w:p>
      <w:pPr>
        <w:ind w:left="420"/>
      </w:pPr>
      <w:r>
        <w:t xml:space="preserve">3. die Daten auf Grund im Waffenregister gespeicherter und im Übermittlungsersuchen angegebener gemeinsamer Merkmale zu einer Gruppe gehören und</w:t>
      </w:r>
    </w:p>
    <w:p>
      <w:pPr>
        <w:ind w:left="420"/>
      </w:pPr>
      <w:r>
        <w:t xml:space="preserve">4. die Leitung der ersuchenden Stelle oder eine von der Leitung für solche Zustimmungen bestellte Vertretung in leitender Stellung zustimmt, sofern nicht ein Gericht oder eine Staatsanwaltschaft um die Übermittlung ersucht.</w:t>
      </w:r>
    </w:p>
    <w:p>
      <w:r>
        <w:rPr>
          <w:color w:val="555555"/>
          <w:sz w:val="17"/>
        </w:rPr>
        <w:t xml:space="preserve">Zitiervorschlag: § 19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