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WaffRG — Übermittlungsersuchen in besonderen Fällen</w:t>
      </w:r>
    </w:p>
    <w:p>
      <w:r>
        <w:rPr>
          <w:color w:val="555555"/>
          <w:sz w:val="18"/>
        </w:rPr>
        <w:t xml:space="preserve">Waffenregistergesetz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Die Angabe der Anschrift in einem Übermittlungsersuchen ist ausreichend bei einem Ersuchen</w:t>
      </w:r>
    </w:p>
    <w:p>
      <w:pPr>
        <w:ind w:left="420"/>
      </w:pPr>
      <w:r>
        <w:t xml:space="preserve">1. der Polizeien des Bundes und der Länder, wenn dies im Einzelfall erforderlich ist zur Abwehr einer konkreten Gefahr für</w:t>
      </w:r>
    </w:p>
    <w:p>
      <w:pPr>
        <w:ind w:left="780"/>
      </w:pPr>
      <w:r>
        <w:t xml:space="preserve">a) Leib, Leben oder Freiheit einer Person oder</w:t>
      </w:r>
    </w:p>
    <w:p>
      <w:pPr>
        <w:ind w:left="780"/>
      </w:pPr>
      <w:r>
        <w:t xml:space="preserve">b) den Bestand oder die Sicherheit des Bundes oder eines Landes,</w:t>
      </w:r>
    </w:p>
    <w:p>
      <w:pPr>
        <w:ind w:left="420"/>
      </w:pPr>
      <w:r>
        <w:t xml:space="preserve">2. der Verfassungsschutzbehörden des Bundes und der Länder, wenn dies im Einzelfall erforderlich ist zur Aufklärung</w:t>
      </w:r>
    </w:p>
    <w:p>
      <w:pPr>
        <w:ind w:left="780"/>
      </w:pPr>
      <w:r>
        <w:t xml:space="preserve">a) von Tätigkeiten nach § 3 Absatz 1 Nummer 2 des Bundesverfassungsschutzgesetzes,</w:t>
      </w:r>
    </w:p>
    <w:p>
      <w:pPr>
        <w:ind w:left="780"/>
      </w:pPr>
      <w:r>
        <w:t xml:space="preserve">b) von Bestrebungen nach § 3 Absatz 1 Nummer 3 des Bundesverfassungsschutzgesetzes oder</w:t>
      </w:r>
    </w:p>
    <w:p>
      <w:pPr>
        <w:ind w:left="780"/>
      </w:pPr>
      <w:r>
        <w:t xml:space="preserve">c) von Bestrebungen nach § 3 Absatz 1 Nummer 1 oder Nummer 4 des Bundesverfassungsschutzgesetzes, sofern diese aufzuklärende Bestrebung darauf gerichtet ist, Gewalt anzuwenden oder Gewaltanwendung vorzubereiten,</w:t>
      </w:r>
    </w:p>
    <w:p>
      <w:pPr>
        <w:ind w:left="420"/>
      </w:pPr>
      <w:r>
        <w:t xml:space="preserve">3. des Militärischen Abschirmdienstes, wenn dies im Einzelfall erforderlich ist zur Aufklärung</w:t>
      </w:r>
    </w:p>
    <w:p>
      <w:pPr>
        <w:ind w:left="780"/>
      </w:pPr>
      <w:r>
        <w:t xml:space="preserve">a) von Tätigkeiten nach § 1 Absatz 1 Satz 1 Nummer 2 des MAD-Gesetzes oder</w:t>
      </w:r>
    </w:p>
    <w:p>
      <w:pPr>
        <w:ind w:left="780"/>
      </w:pPr>
      <w:r>
        <w:t xml:space="preserve">b) von Bestrebungen nach § 1 Absatz 1 Satz 1 Nummer 1 oder Satz 2 des MAD-Gesetzes, sofern diese aufzuklärende Bestrebung darauf gerichtet ist, Gewalt anzuwenden oder Gewaltanwendung vorzubereiten,</w:t>
      </w:r>
    </w:p>
    <w:p>
      <w:pPr>
        <w:ind w:left="420"/>
      </w:pPr>
      <w:r>
        <w:t xml:space="preserve">oder</w:t>
      </w:r>
    </w:p>
    <w:p>
      <w:pPr>
        <w:ind w:left="420"/>
      </w:pPr>
      <w:r>
        <w:t xml:space="preserve">4. des Bundesnachrichtendienstes, wenn dies im Einzelfall erforderlich ist zur Aufgabenerfüllung nach § 1 Absatz 2 Satz 1 des BND-Gesetzes, sofern das Aufklärungsobjekt darauf abzielt, Gewalt anzuwenden oder Gewaltanwendung vorzubereiten.</w:t>
      </w:r>
    </w:p>
    <w:p>
      <w:r>
        <w:t xml:space="preserve">(2) In diesem Fall übermittelt die Registerbehörde die Grunddaten der natürlichen Personen oder der Kaufleute, juristischen Personen und Personenvereinigungen.</w:t>
      </w:r>
    </w:p>
    <w:p>
      <w:r>
        <w:rPr>
          <w:color w:val="555555"/>
          <w:sz w:val="17"/>
        </w:rPr>
        <w:t xml:space="preserve">Zitiervorschlag: § 17 WaffRG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https://recht.nulegal.eu/gesetze/WaffRG/17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