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WaffRG — Datenübermittlung der Registerbehörde an die ersuchende Stelle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Voraussetzung der Datenübermittlung von der Registerbehörde an die ersuchende Stelle ist, dass</w:t>
      </w:r>
    </w:p>
    <w:p>
      <w:pPr>
        <w:ind w:left="420"/>
      </w:pPr>
      <w:r>
        <w:t xml:space="preserve">1. der im Übermittlungsersuchen angegebene Datenverarbeitungszweck die ersuchende Stelle zu einem Übermittlungsersuchen berechtigt und</w:t>
      </w:r>
    </w:p>
    <w:p>
      <w:pPr>
        <w:ind w:left="420"/>
      </w:pPr>
      <w:r>
        <w:t xml:space="preserve">2. die im Übermittlungsersuchen angegebenen Daten mit den im Waffenregister gespeicherten Daten übereinstimmen.</w:t>
      </w:r>
    </w:p>
    <w:p>
      <w:r>
        <w:t xml:space="preserve">(2) Stimmen die angegebenen und die gespeicherten Daten nicht überein, ist die Datenübermittlung zulässig, wenn für die Registerbehörde keine Zweifel an der Identität der Daten bestehen.</w:t>
      </w:r>
    </w:p>
    <w:p>
      <w:r>
        <w:t xml:space="preserve">(3) Kann die Registerbehörde die in einem Übermittlungsersuchen angegebenen Daten nicht eindeutig den im Waffenregister gespeicherten Daten zuordnen, übermittelt die Registerbehörde an die ersuchende Stelle zur Identitätsprüfung und -feststellung die erforderlichen Daten:</w:t>
      </w:r>
    </w:p>
    <w:p>
      <w:pPr>
        <w:ind w:left="420"/>
      </w:pPr>
      <w:r>
        <w:t xml:space="preserve">1. in einem Übermittlungsersuchen, in dem die Daten der betroffenen natürlichen Personen angegeben sind:</w:t>
      </w:r>
    </w:p>
    <w:p>
      <w:pPr>
        <w:ind w:left="780"/>
      </w:pPr>
      <w:r>
        <w:t xml:space="preserve">a) die Grunddaten ähnlicher natürlicher Personen sowie</w:t>
      </w:r>
    </w:p>
    <w:p>
      <w:pPr>
        <w:ind w:left="780"/>
      </w:pPr>
      <w:r>
        <w:t xml:space="preserve">b) die zu diesen Grunddaten vergebenen Ordnungsnummern,</w:t>
      </w:r>
    </w:p>
    <w:p>
      <w:pPr>
        <w:ind w:left="420"/>
      </w:pPr>
      <w:r>
        <w:t xml:space="preserve">2. in einem Übermittlungsersuchen, in dem die Daten der Kaufleute, juristischen Personen und Personenvereinigungen angegeben sind:</w:t>
      </w:r>
    </w:p>
    <w:p>
      <w:pPr>
        <w:ind w:left="780"/>
      </w:pPr>
      <w:r>
        <w:t xml:space="preserve">a) die Grunddaten ähnlicher Kaufleute, juristischer Personen und Personenvereinigungen sowie</w:t>
      </w:r>
    </w:p>
    <w:p>
      <w:pPr>
        <w:ind w:left="780"/>
      </w:pPr>
      <w:r>
        <w:t xml:space="preserve">b) die zu diesen Grunddaten vergebenen Ordnungsnummern,</w:t>
      </w:r>
    </w:p>
    <w:p>
      <w:pPr>
        <w:ind w:left="420"/>
      </w:pPr>
      <w:r>
        <w:t xml:space="preserve">3. in einem Übermittlungsersuchen, in dem die Daten der Waffen angegeben sind:</w:t>
      </w:r>
    </w:p>
    <w:p>
      <w:pPr>
        <w:ind w:left="780"/>
      </w:pPr>
      <w:r>
        <w:t xml:space="preserve">a) die Grunddaten ähnlicher Waffen,</w:t>
      </w:r>
    </w:p>
    <w:p>
      <w:pPr>
        <w:ind w:left="780"/>
      </w:pPr>
      <w:r>
        <w:t xml:space="preserve">b) die zu diesen Grunddaten vergebenen Ordnungsnummern sowie</w:t>
      </w:r>
    </w:p>
    <w:p>
      <w:pPr>
        <w:ind w:left="780"/>
      </w:pPr>
      <w:r>
        <w:t xml:space="preserve">c) den Ort des gegenwärtigen Hauptwohnsitzes oder der gegenwärtigen Niederlassung der betroffenen Person, der Kaufleute, der juristischen Personen oder der Personenvereinigungen,</w:t>
      </w:r>
    </w:p>
    <w:p>
      <w:pPr>
        <w:ind w:left="420"/>
      </w:pPr>
      <w:r>
        <w:t xml:space="preserve">4. in einem Übermittlungsersuchen nach § 15 Absatz 4:die Seriennummer der Waffe und</w:t>
      </w:r>
    </w:p>
    <w:p>
      <w:pPr>
        <w:ind w:left="780"/>
      </w:pPr>
      <w:r>
        <w:t xml:space="preserve">a) die Grunddaten ähnlicher natürlicher Personen und die dazu vergebenen Ordnungsnummern oder</w:t>
      </w:r>
    </w:p>
    <w:p>
      <w:pPr>
        <w:ind w:left="780"/>
      </w:pPr>
      <w:r>
        <w:t xml:space="preserve">b) die Grunddaten ähnlicher Kaufleute, juristischer Personen und Personenvereinigungen und die dazu vergebenen Ordnungsnummern.</w:t>
      </w:r>
    </w:p>
    <w:p>
      <w:r>
        <w:t xml:space="preserve">In jedem Fall von Satz 1 teilt die Registerbehörde der ersuchenden Stelle die Bezeichnung und die Anschrift der Waffenbehörde oder der Waffenbehörden mit, denen die Daten im Waffenregister zugeordnet sind.</w:t>
      </w:r>
    </w:p>
    <w:p>
      <w:r>
        <w:t xml:space="preserve">(4) Die Registerbehörde übermittelt die Daten schriftlich oder elektronisch an die ersuchende Stelle.</w:t>
      </w:r>
    </w:p>
    <w:p>
      <w:r>
        <w:rPr>
          <w:color w:val="555555"/>
          <w:sz w:val="17"/>
        </w:rPr>
        <w:t xml:space="preserve">Zitiervorschlag: § 16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