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WaffRG — Inhalt des Übermittlungsersuchens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In dem Übermittlungsersuchen sind anzugeben:</w:t>
      </w:r>
    </w:p>
    <w:p>
      <w:pPr>
        <w:ind w:left="420"/>
      </w:pPr>
      <w:r>
        <w:t xml:space="preserve">1. der Verarbeitungszweck,</w:t>
      </w:r>
    </w:p>
    <w:p>
      <w:pPr>
        <w:ind w:left="420"/>
      </w:pPr>
      <w:r>
        <w:t xml:space="preserve">2. der Anlass des Übermittlungsersuchens sowie</w:t>
      </w:r>
    </w:p>
    <w:p>
      <w:pPr>
        <w:ind w:left="420"/>
      </w:pPr>
      <w:r>
        <w:t xml:space="preserve">3. eine Ordnungsnummer nach § 7 Absatz 1.</w:t>
      </w:r>
    </w:p>
    <w:p>
      <w:r>
        <w:t xml:space="preserve">(2) Liegt der ersuchenden Stelle keine der Ordnungsnummern vor, sind in dem Übermittlungsersuchen mindestens folgende Daten anzugeben:</w:t>
      </w:r>
    </w:p>
    <w:p>
      <w:pPr>
        <w:ind w:left="420"/>
      </w:pPr>
      <w:r>
        <w:t xml:space="preserve">1. von der betroffenen natürlichen Person</w:t>
      </w:r>
    </w:p>
    <w:p>
      <w:pPr>
        <w:ind w:left="780"/>
      </w:pPr>
      <w:r>
        <w:t xml:space="preserve">a) Nachname oder Vorname und</w:t>
      </w:r>
    </w:p>
    <w:p>
      <w:pPr>
        <w:ind w:left="780"/>
      </w:pPr>
      <w:r>
        <w:t xml:space="preserve">b) entweder Wohnort, Postleitzahl des Wohnortes, Geburtsdatum oder Geburtsort,oder</w:t>
      </w:r>
    </w:p>
    <w:p>
      <w:pPr>
        <w:ind w:left="420"/>
      </w:pPr>
      <w:r>
        <w:t xml:space="preserve">2. von dem betroffenen Kaufmann oder der betroffenen juristischen Person oder der Personenvereinigung</w:t>
      </w:r>
    </w:p>
    <w:p>
      <w:pPr>
        <w:ind w:left="780"/>
      </w:pPr>
      <w:r>
        <w:t xml:space="preserve">a) Name oder Firma und</w:t>
      </w:r>
    </w:p>
    <w:p>
      <w:pPr>
        <w:ind w:left="780"/>
      </w:pPr>
      <w:r>
        <w:t xml:space="preserve">b) entweder derzeitiger Sitz oder Postleitzahl der Niederlassung,oder</w:t>
      </w:r>
    </w:p>
    <w:p>
      <w:pPr>
        <w:ind w:left="420"/>
      </w:pPr>
      <w:r>
        <w:t xml:space="preserve">3. von der betroffenen Waffe</w:t>
      </w:r>
    </w:p>
    <w:p>
      <w:pPr>
        <w:ind w:left="780"/>
      </w:pPr>
      <w:r>
        <w:t xml:space="preserve">a) Seriennummer der Waffe oder</w:t>
      </w:r>
    </w:p>
    <w:p>
      <w:pPr>
        <w:ind w:left="780"/>
      </w:pPr>
      <w:r>
        <w:t xml:space="preserve">b) für den Fall, dass die vollständige Seriennummer nicht vorliegt, ein Bestandteil der Seriennummer und mindestens zwei weitere Grunddaten der Waffe.</w:t>
      </w:r>
    </w:p>
    <w:p>
      <w:r>
        <w:t xml:space="preserve">(3) Sind der ersuchenden Stelle Grunddaten über Absatz 2 hinaus bekannt, hat sie diese zusätzlich anzugeben.</w:t>
      </w:r>
    </w:p>
    <w:p>
      <w:r>
        <w:t xml:space="preserve">(4) In einem Übermittlungsersuchen können die Daten nach Absatz 2 Nummer 1 oder Nummer 2 mit den Grunddaten der Waffe oder den Grunddaten des wesentlichen Teils verknüpft werden.</w:t>
      </w:r>
    </w:p>
    <w:p>
      <w:r>
        <w:rPr>
          <w:color w:val="555555"/>
          <w:sz w:val="17"/>
        </w:rPr>
        <w:t xml:space="preserve">Zitiervorschlag: § 15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