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WaffRG — Protokollierungspflicht bei der Speicherung</w:t>
      </w:r>
    </w:p>
    <w:p>
      <w:r>
        <w:rPr>
          <w:color w:val="555555"/>
          <w:sz w:val="18"/>
        </w:rPr>
        <w:t xml:space="preserve">Waffenregistergesetz</w:t>
      </w:r>
    </w:p>
    <w:p>
      <w:r>
        <w:rPr>
          <w:color w:val="555555"/>
          <w:sz w:val="18"/>
        </w:rPr>
        <w:t xml:space="preserve">Stand: 01.09.2020 (konsolidierte Textfassung, kein amtliches Inkrafttretensdatum)</w:t>
      </w:r>
    </w:p>
    <w:p>
      <w:r>
        <w:t xml:space="preserve">(1) Die Registerbehörde erstellt zu jeder Datenübermittlung nach den §§ 8 und 9 Protokolle. Das Protokoll muss folgende Daten enthalten:</w:t>
      </w:r>
    </w:p>
    <w:p>
      <w:pPr>
        <w:ind w:left="420"/>
      </w:pPr>
      <w:r>
        <w:t xml:space="preserve">1. das Datum und die Uhrzeit der Datenübermittlung,</w:t>
      </w:r>
    </w:p>
    <w:p>
      <w:pPr>
        <w:ind w:left="420"/>
      </w:pPr>
      <w:r>
        <w:t xml:space="preserve">2. die übermittelnde Stelle,</w:t>
      </w:r>
    </w:p>
    <w:p>
      <w:pPr>
        <w:ind w:left="420"/>
      </w:pPr>
      <w:r>
        <w:t xml:space="preserve">3. die übermittelnde Person und</w:t>
      </w:r>
    </w:p>
    <w:p>
      <w:pPr>
        <w:ind w:left="420"/>
      </w:pPr>
      <w:r>
        <w:t xml:space="preserve">4. die übermittelten Daten.</w:t>
      </w:r>
    </w:p>
    <w:p>
      <w:r>
        <w:t xml:space="preserve">(2) Die Protokollierung muss nach dem jeweiligen Stand der Technik erfolgen.</w:t>
      </w:r>
    </w:p>
    <w:p>
      <w:r>
        <w:t xml:space="preserve">(3) Die Registerbehörde darf die Protokolldaten nur zu den folgenden Zwecken verarbeiten:</w:t>
      </w:r>
    </w:p>
    <w:p>
      <w:pPr>
        <w:ind w:left="420"/>
      </w:pPr>
      <w:r>
        <w:t xml:space="preserve">1. zur Auskunftserteilung an die betroffene Person,</w:t>
      </w:r>
    </w:p>
    <w:p>
      <w:pPr>
        <w:ind w:left="420"/>
      </w:pPr>
      <w:r>
        <w:t xml:space="preserve">2. zur Datenschutzkontrolle und Datensicherung sowie</w:t>
      </w:r>
    </w:p>
    <w:p>
      <w:pPr>
        <w:ind w:left="420"/>
      </w:pPr>
      <w:r>
        <w:t xml:space="preserve">3. zur Sicherstellung eines ordnungsgemäßen Betriebs des Registers.</w:t>
      </w:r>
    </w:p>
    <w:p>
      <w:r>
        <w:t xml:space="preserve">Die Registerbehörde hat zu gewährleisten, dass die Protokolldaten vor einer zweckfremden Verarbeitung und vor sonstigem Missbrauch geschützt sind.</w:t>
      </w:r>
    </w:p>
    <w:p>
      <w:r>
        <w:t xml:space="preserve">(4) Die Protokolldaten sind für mindestens zwölf Monate zu speichern. Sie sind nach 18 Monaten zu löschen. Dies gilt nicht, soweit sie für ein bereits eingeleitetes Kontrollverfahren benötigt werden.</w:t>
      </w:r>
    </w:p>
    <w:p>
      <w:r>
        <w:rPr>
          <w:color w:val="555555"/>
          <w:sz w:val="17"/>
        </w:rPr>
        <w:t xml:space="preserve">Zitiervorschlag: § 12 WaffRG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https://recht.nulegal.eu/gesetze/WaffRG/12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