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WaffRG — Unterrichtung der Waffenbehörden durch die Registerbehörde</w:t>
      </w:r>
    </w:p>
    <w:p>
      <w:r>
        <w:rPr>
          <w:color w:val="555555"/>
          <w:sz w:val="18"/>
        </w:rPr>
        <w:t xml:space="preserve">Waffenregistergesetz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Verändert eine Waffenbehörde durch eine Datenübermittlung an die Registerbehörde Daten, die im Waffenregister gespeichert sind, unterrichtet die Registerbehörde diejenigen Waffenbehörden, die auch für diese Daten verantwortlich sind.</w:t>
      </w:r>
    </w:p>
    <w:p>
      <w:r>
        <w:rPr>
          <w:color w:val="555555"/>
          <w:sz w:val="17"/>
        </w:rPr>
        <w:t xml:space="preserve">Zitiervorschlag: § 11 WaffRG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https://recht.nulegal.eu/gesetze/WaffRG/11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