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WaffRG — Zweck des Waffenregisters</w:t>
      </w:r>
    </w:p>
    <w:p>
      <w:r>
        <w:rPr>
          <w:color w:val="555555"/>
          <w:sz w:val="18"/>
        </w:rPr>
        <w:t xml:space="preserve">Waffenregistergesetz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Das Nationale Waffenregister dient insbesondere dem Schutz der öffentlichen Sicherheit und Ordnung. Den Waffenbehörden und den um Datenübermittlung ersuchenden öffentlichen Stellen ermöglicht es</w:t>
      </w:r>
    </w:p>
    <w:p>
      <w:pPr>
        <w:ind w:left="420"/>
      </w:pPr>
      <w:r>
        <w:t xml:space="preserve">1. Waffen und wesentliche Teile zurückzuverfolgen sowie</w:t>
      </w:r>
    </w:p>
    <w:p>
      <w:pPr>
        <w:ind w:left="420"/>
      </w:pPr>
      <w:r>
        <w:t xml:space="preserve">2. sich untereinander über die verarbeiteten Daten auszutauschen.</w:t>
      </w:r>
    </w:p>
    <w:p>
      <w:r>
        <w:t xml:space="preserve">(2) Die Daten zu Personen, waffenrechtlichen Erlaubnissen sowie Waffen und waffenrechtlichen Erlaubnissen werden wie folgt einander zugeordnet:</w:t>
      </w:r>
    </w:p>
    <w:p>
      <w:pPr>
        <w:ind w:left="420"/>
      </w:pPr>
      <w:r>
        <w:t xml:space="preserve">1. Waffen und wesentliche Teile den waffenrechtlichen Erlaubnissen und</w:t>
      </w:r>
    </w:p>
    <w:p>
      <w:pPr>
        <w:ind w:left="420"/>
      </w:pPr>
      <w:r>
        <w:t xml:space="preserve">2. waffenrechtliche Erlaubnisse den Personen.</w:t>
      </w:r>
    </w:p>
    <w:p>
      <w:r>
        <w:rPr>
          <w:color w:val="555555"/>
          <w:sz w:val="17"/>
        </w:rPr>
        <w:t xml:space="preserve">Zitiervorschlag: § 1 WaffRG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https://recht.nulegal.eu/gesetze/WaffRG/1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