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WaffGHZAOWiV</w:t>
      </w:r>
    </w:p>
    <w:p>
      <w:r>
        <w:rPr>
          <w:color w:val="555555"/>
          <w:sz w:val="18"/>
        </w:rPr>
        <w:t xml:space="preserve">Verordnung über die Zuständigkeit der Hauptzollämter zur Verfolgung und Ahndung bestimmter Ordnungswidrigkeiten nach dem Waffengesetz und dem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gilt, soweit die Zuständigkeit zur Verfolgung und Ahndung von Ordnungswidrigkeiten nach § 41 Abs. 1 Nr. 5 des Sprengstoffgesetzes übertragen wird, nach § 14 des Dritten Überleitungsgesetzes vom 4. Januar 1952 (Bundesgesetzblatt I S. 1) in Verbindung mit § 134 Satz 2 des Gesetzes über Ordnungswidrigkeiten auch im Land Berlin.</w:t>
      </w:r>
    </w:p>
    <w:p>
      <w:r>
        <w:rPr>
          <w:color w:val="555555"/>
          <w:sz w:val="17"/>
        </w:rPr>
        <w:t xml:space="preserve">Zitiervorschlag: § 2 WaffGHZAOWiV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https://recht.nulegal.eu/gesetze/WaffGHZAOWiV/2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