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WaffGDV (Brandenburg) — Inkrafttreten, Außerkrafttreten</w:t>
      </w:r>
    </w:p>
    <w:p>
      <w:r>
        <w:rPr>
          <w:color w:val="555555"/>
          <w:sz w:val="18"/>
        </w:rPr>
        <w:t xml:space="preserve">Waffengesetzdurchführungsverordnung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zur Durchführung des Waffengesetzes vom 17. Dezember 1991 ( GVBl. II S. 670), die zuletzt durch die Verordnung vom 18. April 2008 (GVBl. II S. 136) geändert worden ist, außer Kraft.</w:t>
      </w:r>
    </w:p>
    <w:p>
      <w:r>
        <w:t xml:space="preserve">Einzelnorm</w:t>
      </w:r>
    </w:p>
    <w:p>
      <w:r>
        <w:t xml:space="preserve">Potsdam, den 13. Mai 2019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5 WaffGDV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https://recht.nulegal.eu/gesetze/WaffGDV/5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