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WaffGDV (Brandenburg) — Bußgeldbehörden</w:t>
      </w:r>
    </w:p>
    <w:p>
      <w:r>
        <w:rPr>
          <w:color w:val="555555"/>
          <w:sz w:val="18"/>
        </w:rPr>
        <w:t xml:space="preserve">Waffengesetzdurchführungsverordnung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für die Verfolgung von Ordnungswidrigkeiten nach § 53 Absatz 1 des Waffengesetzes ist das Polizeipräsidium.</w:t>
      </w:r>
    </w:p>
    <w:p>
      <w:r>
        <w:t xml:space="preserve">(2) Zuständig für die Ahndung von Ordnungswidrigkeiten nach Absatz 1 ist der Zentraldienst der Polizei mit seiner Zentralen Bußgeldstelle.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WaffGDV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