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WaffGDV (Brandenburg) — Ermächtigung zur Einrichtung von Verbotszonen</w:t>
      </w:r>
    </w:p>
    <w:p>
      <w:r>
        <w:rPr>
          <w:color w:val="555555"/>
          <w:sz w:val="18"/>
        </w:rPr>
        <w:t xml:space="preserve">Waffengesetzdurchführungsverordnung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Befugnis zum Erlass von Rechtsverordnungen nach § 42 Absatz 5 Satz 1 und 2 sowie Absatz 6 Satz 1 und 2 des Waffengesetzes wird auf das für Inneres zuständige Mitglied der Landesregierung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WaffGDV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