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WaffGBundFreistV</w:t>
      </w:r>
    </w:p>
    <w:p>
      <w:r>
        <w:rPr>
          <w:color w:val="555555"/>
          <w:sz w:val="18"/>
        </w:rPr>
        <w:t xml:space="preserve">Waffengesetz-Bund-Freistellungsverordnung</w:t>
      </w:r>
    </w:p>
    <w:p>
      <w:r>
        <w:rPr>
          <w:color w:val="555555"/>
          <w:sz w:val="18"/>
        </w:rPr>
        <w:t xml:space="preserve">Stand: 04.12.2020 (konsolidierte Textfassung, kein amtliches Inkrafttretensdatum)</w:t>
      </w:r>
    </w:p>
    <w:p>
      <w:r>
        <w:t xml:space="preserve">Auf Grund des § 55 Absatz 5 Satz 1 des Waffengesetzes vom 11. Oktober 2002 (BGBl. I S. 3970, 4592; 2003 I S. 1957) verordnet die Bundesregierung:</w:t>
      </w:r>
    </w:p>
    <w:p>
      <w:r>
        <w:rPr>
          <w:color w:val="555555"/>
          <w:sz w:val="17"/>
        </w:rPr>
        <w:t xml:space="preserve">Zitiervorschlag: Eingangsformel WaffGBundFreistV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https://recht.nulegal.eu/gesetze/WaffGBundFreistV/eingangsformel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WaffGBundFreistV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