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WaffGÄndG</w:t>
      </w:r>
    </w:p>
    <w:p>
      <w:r>
        <w:rPr>
          <w:color w:val="555555"/>
          <w:sz w:val="18"/>
        </w:rPr>
        <w:t xml:space="preserve">Gesetz zur Änderung des Waffengesetzes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des Innern wird ermächtigt, das Waffengesetz unter Berücksichtigung der Änderungen durch dieses Gesetz mit neuem Datum bekanntzumachen und dabei Unstimmigkeiten des Wortlauts zu beseitigen.</w:t>
      </w:r>
    </w:p>
    <w:p>
      <w:r>
        <w:rPr>
          <w:color w:val="555555"/>
          <w:sz w:val="17"/>
        </w:rPr>
        <w:t xml:space="preserve">Zitiervorschlag: Art 3 WaffGÄndG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https://recht.nulegal.eu/gesetze/WaffG%C3%84ndG/3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