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WaffGÄndG</w:t>
      </w:r>
    </w:p>
    <w:p>
      <w:r>
        <w:rPr>
          <w:color w:val="555555"/>
          <w:sz w:val="18"/>
        </w:rPr>
        <w:t xml:space="preserve">Gesetz zur Änderung des Waffengesetzes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 Inkrafttreten dieses Gesetzes nach § 59 Abs. 4 und, soweit sie nur noch zur Ausübung der tatsächlichen Gewalt berechtigen, auch die nach § 28 Abs. 1 des Waffengesetzes vom 19. September 1972 erteilten Waffenbesitzkarten, gelten als unbefristet erteilt. Sie können unter den Voraussetzungen des § 28 Abs. 1 Satz 5 des Waffengesetzes nachträglich befristet werden. Die Waffenbesitzkarte nach Satz 1 berechtigt nicht zum Erwerb von Munition.</w:t>
      </w:r>
    </w:p>
    <w:p>
      <w:r>
        <w:t xml:space="preserve">(2) Hat jemand am 1. März 1976 die tatsächliche Gewalt über Schußwaffen ausgeübt</w:t>
      </w:r>
    </w:p>
    <w:p>
      <w:pPr>
        <w:ind w:left="420"/>
      </w:pPr>
      <w:r>
        <w:t xml:space="preserve">1. aus denen keine in der Anlage III zur Dritten Verordnung zum Waffengesetz vom 10. Mai 1973 (Bundesgesetzbl. I S. 373) aufgeführte Munition verschossen werden kann (§ 28 Abs. 3 Nr. 1 des Waffengesetzes vom 19. September 1972),</w:t>
      </w:r>
    </w:p>
    <w:p>
      <w:pPr>
        <w:ind w:left="420"/>
      </w:pPr>
      <w:r>
        <w:t xml:space="preserve">2. für deren Erwerb es nach den §§ 1 bis 5 der Ersten Verordnung zum Waffengesetz vom 19. Dezember 1972 (Bundesgesetzbl. I S. 2522) keiner Erlaubnis bedurfte,</w:t>
      </w:r>
    </w:p>
    <w:p>
      <w:r>
        <w:t xml:space="preserve">für deren Erwerb es jedoch nach diesem Gesetz oder auf Grund einer Rechtsverordnung der Erlaubnis bedarf, so hat er diese Schußwaffen bis zum 30. Juni 1976 nach Maßgabe des § 59 Abs. 1 des Waffengesetzes anzumelden. § 59 Abs. 2 bis 4 des Waffengesetzes ist entsprechend anzuwenden.</w:t>
      </w:r>
    </w:p>
    <w:p>
      <w:r>
        <w:rPr>
          <w:color w:val="555555"/>
          <w:sz w:val="17"/>
        </w:rPr>
        <w:t xml:space="preserve">Zitiervorschlag: Art 2 WaffGÄndG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https://recht.nulegal.eu/gesetze/WaffG%C3%84ndG/2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