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WaffG 2002 — Bedürfnis, allgemeine Grundsätze</w:t>
      </w:r>
    </w:p>
    <w:p>
      <w:r>
        <w:rPr>
          <w:color w:val="555555"/>
          <w:sz w:val="18"/>
        </w:rPr>
        <w:t xml:space="preserve">Waffengesetz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Nachweis eines Bedürfnisses ist erbracht, wenn gegenüber den Belangen der öffentlichen Sicherheit oder Ordnung</w:t>
      </w:r>
    </w:p>
    <w:p>
      <w:pPr>
        <w:ind w:left="420"/>
      </w:pPr>
      <w:r>
        <w:t xml:space="preserve">1. besonders anzuerkennende persönliche oder wirtschaftliche Interessen, vor allem als Jäger, Sportschütze, Brauchtumsschütze, Waffen- oder Munitionssammler, Waffen- oder Munitionssachverständiger, gefährdete Person, als Waffenhersteller oder -händler oder als Bewachungsunternehmer, und</w:t>
      </w:r>
    </w:p>
    <w:p>
      <w:pPr>
        <w:ind w:left="420"/>
      </w:pPr>
      <w:r>
        <w:t xml:space="preserve">2. die Geeignetheit und Erforderlichkeit der Waffen oder Munition für den beantragten Zweck</w:t>
      </w:r>
    </w:p>
    <w:p>
      <w:r>
        <w:t xml:space="preserve">glaubhaft gemacht sind.</w:t>
      </w:r>
    </w:p>
    <w:p>
      <w:r>
        <w:rPr>
          <w:color w:val="555555"/>
          <w:sz w:val="17"/>
        </w:rPr>
        <w:t xml:space="preserve">Zitiervorschlag: § 8 WaffG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https://recht.nulegal.eu/gesetze/WaffG%202002/8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